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b/>
          <w:bCs/>
          <w:sz w:val="36"/>
          <w:szCs w:val="36"/>
          <w:lang w:val="en-US" w:eastAsia="zh-CN"/>
        </w:rPr>
      </w:pPr>
      <w:bookmarkStart w:id="0" w:name="OLE_LINK2"/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  <w:lang w:val="en-US" w:eastAsia="zh-CN"/>
        </w:rPr>
        <w:t>一次性宫</w:t>
      </w:r>
      <w:bookmarkStart w:id="2" w:name="_GoBack"/>
      <w:bookmarkEnd w:id="2"/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  <w:lang w:val="en-US" w:eastAsia="zh-CN"/>
        </w:rPr>
        <w:t>腔组织吸引管采购内容及相关要求</w:t>
      </w:r>
    </w:p>
    <w:bookmarkEnd w:id="0"/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一、采购清单</w:t>
      </w:r>
    </w:p>
    <w:tbl>
      <w:tblPr>
        <w:tblStyle w:val="3"/>
        <w:tblpPr w:leftFromText="180" w:rightFromText="180" w:vertAnchor="text" w:horzAnchor="page" w:tblpXSpec="center" w:tblpY="348"/>
        <w:tblOverlap w:val="never"/>
        <w:tblW w:w="82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7"/>
        <w:gridCol w:w="3075"/>
        <w:gridCol w:w="2250"/>
        <w:gridCol w:w="22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742" w:hRule="atLeast"/>
          <w:jc w:val="center"/>
        </w:trPr>
        <w:tc>
          <w:tcPr>
            <w:tcW w:w="73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307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耗材名称</w:t>
            </w:r>
          </w:p>
        </w:tc>
        <w:tc>
          <w:tcPr>
            <w:tcW w:w="225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参考规格</w:t>
            </w:r>
          </w:p>
        </w:tc>
        <w:tc>
          <w:tcPr>
            <w:tcW w:w="220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使用科室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863" w:hRule="atLeast"/>
          <w:jc w:val="center"/>
        </w:trPr>
        <w:tc>
          <w:tcPr>
            <w:tcW w:w="73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30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一次性宫腔组织吸引管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各规格</w:t>
            </w:r>
          </w:p>
        </w:tc>
        <w:tc>
          <w:tcPr>
            <w:tcW w:w="22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妇科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3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备注</w:t>
            </w:r>
          </w:p>
        </w:tc>
        <w:tc>
          <w:tcPr>
            <w:tcW w:w="753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按需供货，据实结算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/>
        <w:jc w:val="center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二、基本要求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/>
        <w:textAlignment w:val="auto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bookmarkStart w:id="1" w:name="OLE_LINK1"/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1、参考规格:与视频显示设备、吸引器配套使用，供医疗单位用于临床观察、吸取宫腔内组织用；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/>
        <w:textAlignment w:val="auto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2、参考视向角：0°或31°，视场角：≥120°；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/>
        <w:textAlignment w:val="auto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3、吸引口距顶端:≤6.5mm；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/>
        <w:textAlignment w:val="auto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4、Type-C接口参考传输格式：MJPEG，参考传输协议：UVC USB2.0；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5、无需外接图像处理器,可连接到软件系统及兼容版本的视频设备，直接成像。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bookmarkEnd w:id="1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/>
        <w:jc w:val="center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商务要求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/>
        <w:textAlignment w:val="auto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1、服务期：2年（自合同签订之日起计算。首个服务年度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/>
        <w:textAlignment w:val="auto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届满前，采购人组织对供应商开展年度考核，考核不合格的，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/>
        <w:textAlignment w:val="auto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采购人有权单方终止合同;合同存续期间，按照采购人实际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/>
        <w:textAlignment w:val="auto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需求供货）；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Chars="0"/>
        <w:textAlignment w:val="auto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val="en-US" w:eastAsia="zh-CN"/>
        </w:rPr>
        <w:t>2、供货期：自接到医院通知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7个日历日内供货；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Chars="0"/>
        <w:textAlignment w:val="auto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val="en-US" w:eastAsia="zh-CN"/>
        </w:rPr>
        <w:t>3、付款方式：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每月根据使用产品数量据实结算，收到发票且集采平台订单确认收货后12个月付全款；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/>
        <w:textAlignment w:val="auto"/>
        <w:rPr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4、产品有效期：不少于1年有效期（按照进医院时间计算）。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C45E85"/>
    <w:rsid w:val="0E0C760A"/>
    <w:rsid w:val="0F6D5A84"/>
    <w:rsid w:val="16C120B7"/>
    <w:rsid w:val="1BF27AF4"/>
    <w:rsid w:val="32C45E85"/>
    <w:rsid w:val="46D0546B"/>
    <w:rsid w:val="4AAE7702"/>
    <w:rsid w:val="50FC6EC8"/>
    <w:rsid w:val="66E35711"/>
    <w:rsid w:val="71F76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Office_11.8.2.11739_F1E327BC-269C-435d-A152-05C5408002CA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2026-09-29T07:51:00Z</dcterms:created>
  <dc:creator>Administrator</dc:creator>
  <cp:lastModifiedBy>绝世撒旦</cp:lastModifiedBy>
  <dcterms:modified xsi:type="dcterms:W3CDTF">2026-10-20T06:56:42Z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2052-11.8.2.11739</vt:lpwstr>
  </property>
  <property fmtid="{D5CDD505-2E9C-101B-9397-08002B2CF9AE}" pid="3" name="ICV">
    <vt:lpwstr>8F30AABA29CC432CA2AA6CD09F16F214</vt:lpwstr>
  </property>
</Properties>
</file>