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4ED09">
      <w:pPr>
        <w:keepNext/>
        <w:keepLines/>
        <w:pageBreakBefore w:val="0"/>
        <w:widowControl w:val="0"/>
        <w:kinsoku/>
        <w:wordWrap/>
        <w:overflowPunct/>
        <w:topLinePunct w:val="0"/>
        <w:autoSpaceDE/>
        <w:autoSpaceDN/>
        <w:bidi w:val="0"/>
        <w:adjustRightInd/>
        <w:spacing w:line="460" w:lineRule="exact"/>
        <w:jc w:val="center"/>
        <w:textAlignment w:val="auto"/>
        <w:outlineLvl w:val="0"/>
        <w:rPr>
          <w:rFonts w:hint="eastAsia" w:ascii="Times New Roman" w:hAnsi="Times New Roman" w:eastAsia="仿宋_GB2312" w:cs="Times New Roman"/>
          <w:b/>
          <w:bCs/>
          <w:kern w:val="2"/>
          <w:sz w:val="24"/>
          <w:szCs w:val="24"/>
          <w:lang w:val="en-US" w:eastAsia="zh-CN" w:bidi="ar-SA"/>
        </w:rPr>
      </w:pPr>
      <w:r>
        <w:rPr>
          <w:rFonts w:hint="eastAsia" w:ascii="仿宋_GB2312" w:hAnsi="仿宋_GB2312" w:eastAsia="仿宋_GB2312" w:cs="仿宋_GB2312"/>
          <w:b/>
          <w:bCs/>
          <w:color w:val="auto"/>
          <w:kern w:val="2"/>
          <w:sz w:val="28"/>
          <w:szCs w:val="28"/>
          <w:highlight w:val="yellow"/>
          <w:lang w:val="en-US" w:eastAsia="zh-CN" w:bidi="ar-SA"/>
        </w:rPr>
        <w:t>（本次公示的采购需求为初步需求，具体以采购文件为准）</w:t>
      </w:r>
    </w:p>
    <w:p w14:paraId="6DAC0A41">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马鞍山市中医院卒中信息平台建设服务内容及总体要求</w:t>
      </w:r>
    </w:p>
    <w:p w14:paraId="5C1F4857">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321" w:firstLineChars="100"/>
        <w:jc w:val="center"/>
        <w:textAlignment w:val="auto"/>
        <w:rPr>
          <w:rFonts w:hint="eastAsia" w:asciiTheme="minorEastAsia" w:hAnsiTheme="minorEastAsia" w:eastAsiaTheme="minorEastAsia" w:cstheme="minorEastAsia"/>
          <w:b/>
          <w:bCs/>
          <w:sz w:val="32"/>
          <w:szCs w:val="32"/>
          <w:lang w:val="en-US" w:eastAsia="zh-CN"/>
        </w:rPr>
      </w:pPr>
    </w:p>
    <w:p w14:paraId="40467D0B">
      <w:pPr>
        <w:keepNext/>
        <w:keepLines/>
        <w:pageBreakBefore w:val="0"/>
        <w:widowControl w:val="0"/>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一、采购预算</w:t>
      </w:r>
    </w:p>
    <w:p w14:paraId="626F20EC">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项目预算（人民币）：29万元；</w:t>
      </w:r>
    </w:p>
    <w:p w14:paraId="57A23317">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240" w:firstLineChars="1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最高限价（人民币）：29万元。</w:t>
      </w:r>
    </w:p>
    <w:p w14:paraId="2C8961BE">
      <w:pPr>
        <w:keepNext/>
        <w:keepLines/>
        <w:pageBreakBefore w:val="0"/>
        <w:widowControl w:val="0"/>
        <w:numPr>
          <w:ilvl w:val="0"/>
          <w:numId w:val="0"/>
        </w:numPr>
        <w:kinsoku/>
        <w:wordWrap/>
        <w:overflowPunct/>
        <w:topLinePunct w:val="0"/>
        <w:autoSpaceDE/>
        <w:autoSpaceDN/>
        <w:bidi w:val="0"/>
        <w:adjustRightInd/>
        <w:snapToGrid/>
        <w:spacing w:line="480" w:lineRule="exact"/>
        <w:ind w:left="0"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kern w:val="2"/>
          <w:sz w:val="24"/>
          <w:szCs w:val="24"/>
          <w:lang w:val="en-US" w:eastAsia="zh-CN" w:bidi="ar-SA"/>
        </w:rPr>
        <w:t>二、</w:t>
      </w:r>
      <w:r>
        <w:rPr>
          <w:rFonts w:hint="eastAsia" w:asciiTheme="minorEastAsia" w:hAnsiTheme="minorEastAsia" w:eastAsiaTheme="minorEastAsia" w:cstheme="minorEastAsia"/>
          <w:b/>
          <w:bCs/>
          <w:sz w:val="24"/>
          <w:szCs w:val="24"/>
          <w:lang w:val="en-US" w:eastAsia="zh-CN"/>
        </w:rPr>
        <w:t>采购内容及相关要求</w:t>
      </w:r>
    </w:p>
    <w:p w14:paraId="7A5ABE8F">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（一）采购清单</w:t>
      </w:r>
    </w:p>
    <w:tbl>
      <w:tblPr>
        <w:tblStyle w:val="19"/>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1"/>
        <w:gridCol w:w="1695"/>
        <w:gridCol w:w="4575"/>
        <w:gridCol w:w="420"/>
        <w:gridCol w:w="405"/>
        <w:gridCol w:w="976"/>
      </w:tblGrid>
      <w:tr w14:paraId="73A1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30CC96A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序号</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10B8915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sz w:val="24"/>
                <w:szCs w:val="24"/>
              </w:rPr>
              <w:t>货物</w:t>
            </w:r>
            <w:r>
              <w:rPr>
                <w:rFonts w:hint="eastAsia" w:ascii="宋体" w:hAnsi="宋体" w:eastAsia="宋体" w:cs="宋体"/>
                <w:b/>
                <w:sz w:val="24"/>
                <w:szCs w:val="24"/>
                <w:lang w:val="en-US" w:eastAsia="zh-CN"/>
              </w:rPr>
              <w:t>服务</w:t>
            </w:r>
            <w:r>
              <w:rPr>
                <w:rFonts w:hint="eastAsia" w:ascii="宋体" w:hAnsi="宋体" w:eastAsia="宋体" w:cs="宋体"/>
                <w:b/>
                <w:sz w:val="24"/>
                <w:szCs w:val="24"/>
              </w:rPr>
              <w:t>名称</w:t>
            </w:r>
            <w:r>
              <w:rPr>
                <w:rFonts w:hint="eastAsia" w:ascii="宋体" w:hAnsi="宋体" w:eastAsia="宋体" w:cs="宋体"/>
                <w:b/>
                <w:sz w:val="24"/>
                <w:szCs w:val="24"/>
                <w:u w:val="none" w:color="FFFFFF"/>
                <w:shd w:val="clear" w:color="auto" w:fill="FFFFFF"/>
              </w:rPr>
              <w:t>(</w:t>
            </w:r>
            <w:r>
              <w:rPr>
                <w:rFonts w:hint="eastAsia" w:ascii="宋体" w:hAnsi="宋体" w:eastAsia="宋体" w:cs="宋体"/>
                <w:b/>
                <w:sz w:val="24"/>
                <w:szCs w:val="24"/>
              </w:rPr>
              <w:t>标的名称</w:t>
            </w:r>
            <w:r>
              <w:rPr>
                <w:rFonts w:hint="eastAsia" w:ascii="宋体" w:hAnsi="宋体" w:eastAsia="宋体" w:cs="宋体"/>
                <w:b/>
                <w:sz w:val="24"/>
                <w:szCs w:val="24"/>
                <w:u w:val="none" w:color="FFFFFF"/>
                <w:shd w:val="clear" w:color="auto" w:fill="FFFFFF"/>
              </w:rPr>
              <w:t>)</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1BC3D94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技术要求</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71FB02B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数量</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1E357E8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单位</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5BFF0EF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最高单价（元）</w:t>
            </w:r>
          </w:p>
        </w:tc>
      </w:tr>
      <w:tr w14:paraId="18C1F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restart"/>
            <w:tcBorders>
              <w:top w:val="single" w:color="000000" w:sz="4" w:space="0"/>
              <w:left w:val="single" w:color="000000" w:sz="4" w:space="0"/>
              <w:right w:val="single" w:color="000000" w:sz="4" w:space="0"/>
            </w:tcBorders>
            <w:noWrap/>
            <w:vAlign w:val="center"/>
          </w:tcPr>
          <w:p w14:paraId="7823097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1</w:t>
            </w:r>
          </w:p>
        </w:tc>
        <w:tc>
          <w:tcPr>
            <w:tcW w:w="1695" w:type="dxa"/>
            <w:vMerge w:val="restart"/>
            <w:tcBorders>
              <w:top w:val="single" w:color="000000" w:sz="4" w:space="0"/>
              <w:left w:val="single" w:color="000000" w:sz="4" w:space="0"/>
              <w:right w:val="single" w:color="000000" w:sz="4" w:space="0"/>
            </w:tcBorders>
            <w:noWrap/>
            <w:vAlign w:val="center"/>
          </w:tcPr>
          <w:p w14:paraId="0010497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sz w:val="21"/>
                <w:szCs w:val="24"/>
              </w:rPr>
            </w:pPr>
            <w:r>
              <w:rPr>
                <w:rFonts w:ascii="Calibri" w:eastAsia="宋体"/>
                <w:b/>
                <w:bCs/>
                <w:sz w:val="21"/>
              </w:rPr>
              <w:t>卒中信息平台</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69069496">
            <w:pPr>
              <w:keepNext/>
              <w:keepLines/>
              <w:pageBreakBefore w:val="0"/>
              <w:widowControl w:val="0"/>
              <w:numPr>
                <w:ilvl w:val="1"/>
                <w:numId w:val="0"/>
              </w:numP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default" w:ascii="Calibri" w:hAnsi="Calibri" w:eastAsia="宋体" w:cs="Times New Roman"/>
                <w:kern w:val="2"/>
                <w:sz w:val="21"/>
                <w:szCs w:val="21"/>
                <w:lang w:val="en-US" w:eastAsia="zh-CN" w:bidi="ar-SA"/>
              </w:rPr>
              <w:t>1.1</w:t>
            </w:r>
            <w:r>
              <w:rPr>
                <w:rFonts w:hint="eastAsia" w:eastAsia="宋体" w:cs="Times New Roman"/>
                <w:kern w:val="2"/>
                <w:sz w:val="21"/>
                <w:szCs w:val="21"/>
                <w:lang w:val="en-US" w:eastAsia="zh-CN" w:bidi="ar-SA"/>
              </w:rPr>
              <w:t xml:space="preserve"> </w:t>
            </w:r>
            <w:r>
              <w:rPr>
                <w:rFonts w:hint="eastAsia" w:ascii="Calibri" w:eastAsia="宋体" w:cs="Times New Roman"/>
                <w:sz w:val="21"/>
                <w:lang w:val="en-US" w:eastAsia="zh-CN"/>
              </w:rPr>
              <w:t xml:space="preserve"> </w:t>
            </w:r>
            <w:r>
              <w:rPr>
                <w:rFonts w:hint="eastAsia" w:ascii="Calibri" w:eastAsia="宋体" w:cs="Times New Roman"/>
                <w:sz w:val="21"/>
              </w:rPr>
              <w:t>120院前急救管理</w:t>
            </w:r>
            <w:r>
              <w:rPr>
                <w:rFonts w:hint="eastAsia" w:ascii="Calibri" w:eastAsia="宋体" w:cs="Times New Roman"/>
                <w:sz w:val="21"/>
                <w:lang w:eastAsia="zh-CN"/>
              </w:rPr>
              <w:t>：</w:t>
            </w:r>
            <w:r>
              <w:rPr>
                <w:rFonts w:hint="eastAsia" w:ascii="Calibri" w:eastAsia="宋体" w:cs="Times New Roman"/>
                <w:sz w:val="21"/>
              </w:rPr>
              <w:t>包括患者快速建档、生命体征数据、病史数据、辅助检查、诊断评估、启动预警管理、协同科室会诊、患者病历信息共享、其他处置、交接管理</w:t>
            </w:r>
            <w:r>
              <w:rPr>
                <w:rFonts w:hint="eastAsia" w:ascii="Calibri" w:eastAsia="宋体" w:cs="Times New Roman"/>
                <w:sz w:val="21"/>
                <w:lang w:eastAsia="zh-CN"/>
              </w:rPr>
              <w:t>；</w:t>
            </w:r>
          </w:p>
          <w:p w14:paraId="608E3B58">
            <w:pPr>
              <w:keepNext/>
              <w:keepLines/>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0" w:right="0" w:rightChars="0"/>
              <w:jc w:val="both"/>
              <w:textAlignment w:val="auto"/>
              <w:rPr>
                <w:rFonts w:hint="eastAsia" w:ascii="Calibri" w:eastAsia="宋体" w:cs="Times New Roman"/>
                <w:sz w:val="21"/>
                <w:lang w:eastAsia="zh-CN"/>
              </w:rPr>
            </w:pPr>
            <w:r>
              <w:rPr>
                <w:rFonts w:hint="eastAsia" w:ascii="Calibri" w:eastAsia="宋体" w:cs="Times New Roman"/>
                <w:sz w:val="21"/>
                <w:lang w:eastAsia="zh-CN"/>
              </w:rPr>
              <w:t>1.2患者快速建档:在新建档案的同时可绑定患者胸卡，作为启动绿色通道患者标识；支持通过身份证、社保卡进行快速建档，同时支持针对三无患者快速建档；</w:t>
            </w:r>
          </w:p>
          <w:p w14:paraId="0967EA1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yellow"/>
                <w:lang w:eastAsia="zh-CN"/>
              </w:rPr>
              <w:t>■1.3生命体征数据</w:t>
            </w:r>
            <w:r>
              <w:rPr>
                <w:rFonts w:hint="eastAsia" w:ascii="Calibri" w:eastAsia="宋体" w:cs="Times New Roman"/>
                <w:sz w:val="21"/>
                <w:lang w:eastAsia="zh-CN"/>
              </w:rPr>
              <w:t>:可对接医疗设备，实现生命体征数据的自动采集并上传；支持多次检测，并生成生命体征动态趋势图；</w:t>
            </w:r>
          </w:p>
          <w:p w14:paraId="2A49BCE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1.4病史数据:可跳过患者登记环节，首先评估患者病情；支持以全结构化的数据展现形式进行卒中患者病史的快速评估，包括主诉症状、既往病史、家族史等；支持记录入院前用药史；</w:t>
            </w:r>
          </w:p>
          <w:p w14:paraId="3E17DBA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1.5辅助检查:支持对检查项目的记录及管理，包括心电图、CT、超声、MRI、CTA、MRA、DSA等；支持与医院软、硬件设备对接进行数据抓取；</w:t>
            </w:r>
          </w:p>
          <w:p w14:paraId="46D9171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1.6诊断评估:支持快速进行初步诊断，并由卒中诊断类型关联对应的数据上报表单；</w:t>
            </w:r>
          </w:p>
          <w:p w14:paraId="0D98B89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1.7启动预警管理:支持院前预警，记录预计到达时间；支持院前与院内的信息联动，院前可对院内医生发起定向通知，院内医生收到后，系统自动将预警信息进行语音播报；</w:t>
            </w:r>
          </w:p>
          <w:p w14:paraId="250C3E1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1.8协同科室会诊:支持卒中中心的多科室协同会诊，包括急诊科、神内科、CT室、超声室、导管室等科室；支持基层医院、帮扶医院与院内专家医生之间的实时交流和协作；支持多人同时在线会诊、视频会诊；</w:t>
            </w:r>
          </w:p>
          <w:p w14:paraId="32E3E47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1.9患者病历信息共享:支持对受邀会诊记录的管理功能；支持一键选择治疗方案；支持会诊操作日志记录；</w:t>
            </w:r>
          </w:p>
          <w:p w14:paraId="19D4FB5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1.1患者时间轴信息共享:以时间为坐标展示患者全流程时间和事件管理；支持院前核心时间节点采集，自动生成患者急救时间轴；</w:t>
            </w:r>
          </w:p>
          <w:p w14:paraId="1F4D6EA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1.12其他处置:支持对卒中患者常用生命支持操作进行配置；支持对卒中常用药物进行套餐模板配置；支持对用药和生命支持两类处置措施进行留痕；</w:t>
            </w:r>
          </w:p>
          <w:p w14:paraId="410013F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default" w:ascii="Calibri" w:eastAsia="宋体" w:cs="Times New Roman"/>
                <w:sz w:val="21"/>
                <w:lang w:val="en-US" w:eastAsia="zh-CN"/>
              </w:rPr>
            </w:pPr>
            <w:r>
              <w:rPr>
                <w:rFonts w:hint="eastAsia" w:ascii="Calibri" w:eastAsia="宋体" w:cs="Times New Roman"/>
                <w:sz w:val="21"/>
                <w:lang w:eastAsia="zh-CN"/>
              </w:rPr>
              <w:t>1.13交接管理:支持对患者的院前向院内、院内科室间的交接管理；支持通过二维码的形式转交接患者；支持定向交接及科室交接。</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4D3C034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60AB01B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套</w:t>
            </w:r>
          </w:p>
        </w:tc>
        <w:tc>
          <w:tcPr>
            <w:tcW w:w="976" w:type="dxa"/>
            <w:vMerge w:val="restart"/>
            <w:tcBorders>
              <w:top w:val="single" w:color="000000" w:sz="4" w:space="0"/>
              <w:left w:val="single" w:color="000000" w:sz="4" w:space="0"/>
              <w:right w:val="single" w:color="000000" w:sz="4" w:space="0"/>
            </w:tcBorders>
            <w:noWrap/>
            <w:vAlign w:val="center"/>
          </w:tcPr>
          <w:p w14:paraId="1238CDC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228500</w:t>
            </w:r>
          </w:p>
        </w:tc>
      </w:tr>
      <w:tr w14:paraId="76856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6A9BA53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57000AF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01928FC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2.1</w:t>
            </w:r>
            <w:r>
              <w:rPr>
                <w:rFonts w:hint="eastAsia" w:ascii="Calibri" w:eastAsia="宋体" w:cs="Times New Roman"/>
                <w:sz w:val="21"/>
              </w:rPr>
              <w:t>卒中中心管理</w:t>
            </w:r>
            <w:r>
              <w:rPr>
                <w:rFonts w:hint="eastAsia" w:ascii="Calibri" w:eastAsia="宋体" w:cs="Times New Roman"/>
                <w:sz w:val="21"/>
                <w:lang w:eastAsia="zh-CN"/>
              </w:rPr>
              <w:t>：</w:t>
            </w:r>
            <w:r>
              <w:rPr>
                <w:rFonts w:hint="eastAsia" w:ascii="Calibri" w:eastAsia="宋体" w:cs="Times New Roman"/>
                <w:sz w:val="21"/>
              </w:rPr>
              <w:t>包括患者快速建档、生命体征数据、病史数据、辅助检查、急诊诊断、评分评估数据、血液检查、其他处置、知情同意书管理、转归/交接管理、手术管理、互联互通</w:t>
            </w:r>
            <w:r>
              <w:rPr>
                <w:rFonts w:hint="eastAsia" w:ascii="Calibri" w:eastAsia="宋体" w:cs="Times New Roman"/>
                <w:sz w:val="21"/>
                <w:lang w:eastAsia="zh-CN"/>
              </w:rPr>
              <w:t>；</w:t>
            </w:r>
          </w:p>
          <w:p w14:paraId="714D272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yellow"/>
                <w:lang w:eastAsia="zh-CN"/>
              </w:rPr>
              <w:t>■2.2患者快速建档</w:t>
            </w:r>
            <w:r>
              <w:rPr>
                <w:rFonts w:hint="eastAsia" w:ascii="Calibri" w:eastAsia="宋体" w:cs="Times New Roman"/>
                <w:sz w:val="21"/>
                <w:lang w:eastAsia="zh-CN"/>
              </w:rPr>
              <w:t>：在新建档案的同时可绑定患者胸卡；支持通过智能识别身份证、社保卡自动采集患者信息；支持三无人员快速建档；</w:t>
            </w:r>
          </w:p>
          <w:p w14:paraId="33D00A5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2.3生命体征数据：可对接医疗设备，实现生命体征数据的自动采集并上传；支持多次检测，并生成生命体征动态趋势图；</w:t>
            </w:r>
          </w:p>
          <w:p w14:paraId="07A3F6B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2.4评分评估数据：支持NIHSS评分（多时间节点）、FAST评分、洼田吞咽评定、mRS评分、GCS评分、Hunt-Hess评分、CHADS2评分、HAS-BLED评分、ABCD2评分、ESSEN评分等，对分值估算提供辅助释义，自动生成评分结果；支持多次患者评估，并生成评估结果动态趋势图；</w:t>
            </w:r>
          </w:p>
          <w:p w14:paraId="32115ED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2.5病史数据：支持以全结构化的数据展现形式进行卒中病史的快速评估；支持记录患者入院前用药史；</w:t>
            </w:r>
          </w:p>
          <w:p w14:paraId="15CB208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2.6急诊诊断：支持快速进行初步诊断，并由诊断类型关联对应的官方上报表单；</w:t>
            </w:r>
          </w:p>
          <w:p w14:paraId="1BF5D7D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2.7血液检查：支持对检测项目结果的记录及管理，包括血常规、血糖、凝血、血脂四项、肾功能及电解质、心肌酶、同型半胱氨酸等项目内容；支持与医院软、硬件设备对接进行数据抓取；</w:t>
            </w:r>
          </w:p>
          <w:p w14:paraId="4B6E164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2.8辅助检查：支持对检查项目的记录及管理，包括心电图、CT、超声、MRI、CTA、MRA、DSA等；支持与医院软、硬件设备对接进行数据抓取；</w:t>
            </w:r>
          </w:p>
          <w:p w14:paraId="4B7868F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2.9其他处置：支持对常用药物套餐进行配置，实现医生一键给药；支持对常用生命支持操作进行配置；支持对用药和生命支持两类处置措施进行留痕；</w:t>
            </w:r>
          </w:p>
          <w:p w14:paraId="0D980BB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none"/>
                <w:lang w:eastAsia="zh-CN"/>
              </w:rPr>
              <w:t>2.1</w:t>
            </w:r>
            <w:r>
              <w:rPr>
                <w:rFonts w:hint="eastAsia" w:cs="Times New Roman"/>
                <w:sz w:val="21"/>
                <w:highlight w:val="none"/>
                <w:lang w:val="en-US" w:eastAsia="zh-CN"/>
              </w:rPr>
              <w:t>0</w:t>
            </w:r>
            <w:r>
              <w:rPr>
                <w:rFonts w:hint="eastAsia" w:ascii="Calibri" w:eastAsia="宋体" w:cs="Times New Roman"/>
                <w:sz w:val="21"/>
                <w:highlight w:val="none"/>
                <w:lang w:eastAsia="zh-CN"/>
              </w:rPr>
              <w:t>知情同意书管理：</w:t>
            </w:r>
            <w:r>
              <w:rPr>
                <w:rFonts w:hint="eastAsia" w:ascii="Calibri" w:eastAsia="宋体" w:cs="Times New Roman"/>
                <w:sz w:val="21"/>
                <w:lang w:eastAsia="zh-CN"/>
              </w:rPr>
              <w:t>支持对谈话全过程的录音；可定制电子版知情同意书模板，支持患者签名功能；支持相机拍照、相册图片形式上传纸质知情同意书；</w:t>
            </w:r>
          </w:p>
          <w:p w14:paraId="1BF982D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yellow"/>
                <w:lang w:eastAsia="zh-CN"/>
              </w:rPr>
              <w:t>■2.11转归/交接管理</w:t>
            </w:r>
            <w:r>
              <w:rPr>
                <w:rFonts w:hint="eastAsia" w:ascii="Calibri" w:eastAsia="宋体" w:cs="Times New Roman"/>
                <w:sz w:val="21"/>
                <w:lang w:eastAsia="zh-CN"/>
              </w:rPr>
              <w:t>：针对患者转归流程中的交接、转院、出院及死亡等情况进行记录管理；支持通过二维码的形式转交接患者；支持对患者的出院管理；</w:t>
            </w:r>
          </w:p>
          <w:p w14:paraId="650D38B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2.12手术管理：支持按照国家卒中中心建设要求记录手术过程中的重要时间节点、用药、治疗方式等信息；支持多种治疗方式全过程记录；</w:t>
            </w:r>
          </w:p>
          <w:p w14:paraId="3D86AD4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2.13互联互通：支持与PC端数据互联互通。</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663FAE4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705C359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191EAA8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3F1D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14CCD2A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2B12D2A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51FE655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3.1</w:t>
            </w:r>
            <w:r>
              <w:rPr>
                <w:rFonts w:hint="eastAsia" w:ascii="Calibri" w:eastAsia="宋体" w:cs="Times New Roman"/>
                <w:sz w:val="21"/>
              </w:rPr>
              <w:t>患者数据管理</w:t>
            </w:r>
            <w:r>
              <w:rPr>
                <w:rFonts w:hint="eastAsia" w:ascii="Calibri" w:eastAsia="宋体" w:cs="Times New Roman"/>
                <w:sz w:val="21"/>
                <w:lang w:eastAsia="zh-CN"/>
              </w:rPr>
              <w:t>：</w:t>
            </w:r>
            <w:r>
              <w:rPr>
                <w:rFonts w:hint="eastAsia" w:ascii="Calibri" w:eastAsia="宋体" w:cs="Times New Roman"/>
                <w:sz w:val="21"/>
              </w:rPr>
              <w:t>包括患者时间数据管理、基本信息管理、急救信息登记</w:t>
            </w:r>
            <w:r>
              <w:rPr>
                <w:rFonts w:hint="eastAsia" w:ascii="Calibri" w:eastAsia="宋体" w:cs="Times New Roman"/>
                <w:sz w:val="21"/>
                <w:lang w:eastAsia="zh-CN"/>
              </w:rPr>
              <w:t>；</w:t>
            </w:r>
          </w:p>
          <w:p w14:paraId="04F84C5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3.</w:t>
            </w:r>
            <w:r>
              <w:rPr>
                <w:rFonts w:hint="eastAsia" w:ascii="Calibri" w:eastAsia="宋体" w:cs="Times New Roman"/>
                <w:sz w:val="21"/>
                <w:lang w:val="en-US" w:eastAsia="zh-CN"/>
              </w:rPr>
              <w:t>2</w:t>
            </w:r>
            <w:r>
              <w:rPr>
                <w:rFonts w:hint="eastAsia" w:ascii="Calibri" w:eastAsia="宋体" w:cs="Times New Roman"/>
                <w:sz w:val="21"/>
                <w:lang w:eastAsia="zh-CN"/>
              </w:rPr>
              <w:t>患者时间数据管理：支持患者救治时间自动采集功能，并自动关联到卒中表单；可在APP时间轴中自动计算多个重要质控时间节点，并自动计算时间偏差；可视化方式展示患者诊疗过程重要时间节点，并通过颜色对异常质控时间指标进行标记提醒；支持对延误原因进行标记；</w:t>
            </w:r>
          </w:p>
          <w:p w14:paraId="0DB1793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3.</w:t>
            </w:r>
            <w:r>
              <w:rPr>
                <w:rFonts w:hint="eastAsia" w:ascii="Calibri" w:eastAsia="宋体" w:cs="Times New Roman"/>
                <w:sz w:val="21"/>
                <w:lang w:val="en-US" w:eastAsia="zh-CN"/>
              </w:rPr>
              <w:t>3</w:t>
            </w:r>
            <w:r>
              <w:rPr>
                <w:rFonts w:hint="eastAsia" w:ascii="Calibri" w:eastAsia="宋体" w:cs="Times New Roman"/>
                <w:sz w:val="21"/>
                <w:lang w:eastAsia="zh-CN"/>
              </w:rPr>
              <w:t>患者管理：基于区域协同救治的模式，在发病后即可开展院前院内的协同会诊；系统依据角色权限，按照院内诊疗路径实现各功能系统的衔接；支持通过EXCEL文件形式进行单个或者批量的导出；</w:t>
            </w:r>
          </w:p>
          <w:p w14:paraId="3782D9A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3.</w:t>
            </w:r>
            <w:r>
              <w:rPr>
                <w:rFonts w:hint="eastAsia" w:ascii="Calibri" w:eastAsia="宋体" w:cs="Times New Roman"/>
                <w:sz w:val="21"/>
                <w:lang w:val="en-US" w:eastAsia="zh-CN"/>
              </w:rPr>
              <w:t>4</w:t>
            </w:r>
            <w:r>
              <w:rPr>
                <w:rFonts w:hint="eastAsia" w:ascii="Calibri" w:eastAsia="宋体" w:cs="Times New Roman"/>
                <w:sz w:val="21"/>
                <w:lang w:eastAsia="zh-CN"/>
              </w:rPr>
              <w:t>基本信息管理：支持对患者基本信息的登记、管理；支持患者综合档案数据的录入、审核、归档三级审核流程；通过智能识别身份证、社保卡信息实现快速建档；针对三无患者支持先治疗后付费；</w:t>
            </w:r>
          </w:p>
          <w:p w14:paraId="015D9E4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3.</w:t>
            </w:r>
            <w:r>
              <w:rPr>
                <w:rFonts w:hint="eastAsia" w:ascii="Calibri" w:eastAsia="宋体" w:cs="Times New Roman"/>
                <w:sz w:val="21"/>
                <w:lang w:val="en-US" w:eastAsia="zh-CN"/>
              </w:rPr>
              <w:t>5</w:t>
            </w:r>
            <w:r>
              <w:rPr>
                <w:rFonts w:hint="eastAsia" w:ascii="Calibri" w:eastAsia="宋体" w:cs="Times New Roman"/>
                <w:sz w:val="21"/>
                <w:lang w:eastAsia="zh-CN"/>
              </w:rPr>
              <w:t>急救信息登记：支持对卒中的发病地址、发病时间、来院方式、首次医疗接触时间等信息的填写；支持一键记录院前及卒中中心急救所需的时间节点；填写内容符合卒中数据上报要求。</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73B913E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34241E5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387D970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2337B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41A39BF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7058302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617A970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4.1</w:t>
            </w:r>
            <w:r>
              <w:rPr>
                <w:rFonts w:hint="eastAsia" w:ascii="Calibri" w:eastAsia="宋体" w:cs="Times New Roman"/>
                <w:sz w:val="21"/>
              </w:rPr>
              <w:t>数据自动采集</w:t>
            </w:r>
            <w:r>
              <w:rPr>
                <w:rFonts w:hint="eastAsia" w:ascii="Calibri" w:eastAsia="宋体" w:cs="Times New Roman"/>
                <w:sz w:val="21"/>
                <w:lang w:eastAsia="zh-CN"/>
              </w:rPr>
              <w:t>：</w:t>
            </w:r>
            <w:r>
              <w:rPr>
                <w:rFonts w:hint="eastAsia" w:ascii="Calibri" w:eastAsia="宋体" w:cs="Times New Roman"/>
                <w:sz w:val="21"/>
              </w:rPr>
              <w:t>包括与医院快检设备、心电图硬件设备对接，院内转归数据对接</w:t>
            </w:r>
            <w:r>
              <w:rPr>
                <w:rFonts w:hint="eastAsia" w:ascii="Calibri" w:eastAsia="宋体" w:cs="Times New Roman"/>
                <w:sz w:val="21"/>
                <w:lang w:eastAsia="zh-CN"/>
              </w:rPr>
              <w:t>；</w:t>
            </w:r>
          </w:p>
          <w:p w14:paraId="193D8DE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4.</w:t>
            </w:r>
            <w:r>
              <w:rPr>
                <w:rFonts w:hint="eastAsia" w:ascii="Calibri" w:eastAsia="宋体" w:cs="Times New Roman"/>
                <w:sz w:val="21"/>
                <w:lang w:val="en-US" w:eastAsia="zh-CN"/>
              </w:rPr>
              <w:t>2</w:t>
            </w:r>
            <w:r>
              <w:rPr>
                <w:rFonts w:hint="eastAsia" w:ascii="Calibri" w:eastAsia="宋体" w:cs="Times New Roman"/>
                <w:sz w:val="21"/>
                <w:lang w:eastAsia="zh-CN"/>
              </w:rPr>
              <w:t>支持与快检设备、心电图机对接，时间自动采集</w:t>
            </w:r>
          </w:p>
          <w:p w14:paraId="509B65B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4.</w:t>
            </w:r>
            <w:r>
              <w:rPr>
                <w:rFonts w:hint="eastAsia" w:ascii="Calibri" w:eastAsia="宋体" w:cs="Times New Roman"/>
                <w:sz w:val="21"/>
                <w:lang w:val="en-US" w:eastAsia="zh-CN"/>
              </w:rPr>
              <w:t>3</w:t>
            </w:r>
            <w:r>
              <w:rPr>
                <w:rFonts w:hint="eastAsia" w:ascii="Calibri" w:eastAsia="宋体" w:cs="Times New Roman"/>
                <w:sz w:val="21"/>
                <w:lang w:eastAsia="zh-CN"/>
              </w:rPr>
              <w:t>支持院内治疗数据对接、录入及采集，包含实验室检验数据，影像学检查数据，诊断信息录入及图像上传等；</w:t>
            </w:r>
          </w:p>
          <w:p w14:paraId="3A7B1CC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4.</w:t>
            </w:r>
            <w:r>
              <w:rPr>
                <w:rFonts w:hint="eastAsia" w:ascii="Calibri" w:eastAsia="宋体" w:cs="Times New Roman"/>
                <w:sz w:val="21"/>
                <w:lang w:val="en-US" w:eastAsia="zh-CN"/>
              </w:rPr>
              <w:t>4</w:t>
            </w:r>
            <w:r>
              <w:rPr>
                <w:rFonts w:hint="eastAsia" w:ascii="Calibri" w:eastAsia="宋体" w:cs="Times New Roman"/>
                <w:sz w:val="21"/>
                <w:lang w:eastAsia="zh-CN"/>
              </w:rPr>
              <w:t>支持患者不同转归信息记录，离院方式、救治结局、费用及住院天数相关数据等。</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3E8BF2B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7F5D8BA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7117955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021A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038B797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733DDBD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65CA7A3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5.1</w:t>
            </w:r>
            <w:r>
              <w:rPr>
                <w:rFonts w:hint="eastAsia" w:ascii="Calibri" w:eastAsia="宋体" w:cs="Times New Roman"/>
                <w:sz w:val="21"/>
              </w:rPr>
              <w:t>多学科会诊</w:t>
            </w:r>
            <w:r>
              <w:rPr>
                <w:rFonts w:hint="eastAsia" w:ascii="Calibri" w:eastAsia="宋体" w:cs="Times New Roman"/>
                <w:sz w:val="21"/>
                <w:lang w:eastAsia="zh-CN"/>
              </w:rPr>
              <w:t>：</w:t>
            </w:r>
            <w:r>
              <w:rPr>
                <w:rFonts w:hint="eastAsia" w:ascii="Calibri" w:eastAsia="宋体" w:cs="Times New Roman"/>
                <w:sz w:val="21"/>
              </w:rPr>
              <w:t>卒中中心的多科室协同会诊</w:t>
            </w:r>
            <w:r>
              <w:rPr>
                <w:rFonts w:hint="eastAsia" w:ascii="Calibri" w:eastAsia="宋体" w:cs="Times New Roman"/>
                <w:sz w:val="21"/>
                <w:lang w:eastAsia="zh-CN"/>
              </w:rPr>
              <w:t>；</w:t>
            </w:r>
          </w:p>
          <w:p w14:paraId="6B17E22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5.2协同科室会诊：支持卒中中心的多科室协同会诊；支持基层医院、帮扶医院与院内专家医生之间的实时交流和协作；平台具备音视频通信、数据传输、病历共享等功能；支持多人同时在线会诊、视频会诊，并自动留存；</w:t>
            </w:r>
          </w:p>
          <w:p w14:paraId="44E13FF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5.3患者病历信息共享：支持在会诊医生间共享患者病历信息功能；支持对受邀会诊记录的管理功能；支持一键选择治疗方案；支持会诊操作日志；</w:t>
            </w:r>
          </w:p>
          <w:p w14:paraId="71E36BC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5.4患者时间轴信息共享：支持卒中救治质量统计，至少包含DNT时间、入院到CT检查完成时间、从采血到出具检查结果时间、ODT时间；</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268D72B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4F389CB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52606B3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7863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4C4520E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2BB4808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270FBAF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6.1</w:t>
            </w:r>
            <w:r>
              <w:rPr>
                <w:rFonts w:hint="eastAsia" w:ascii="Calibri" w:eastAsia="宋体" w:cs="Times New Roman"/>
                <w:sz w:val="21"/>
              </w:rPr>
              <w:t>综合展示系统</w:t>
            </w:r>
            <w:r>
              <w:rPr>
                <w:rFonts w:hint="eastAsia" w:ascii="Calibri" w:eastAsia="宋体" w:cs="Times New Roman"/>
                <w:sz w:val="21"/>
                <w:lang w:eastAsia="zh-CN"/>
              </w:rPr>
              <w:t>：</w:t>
            </w:r>
            <w:r>
              <w:rPr>
                <w:rFonts w:hint="eastAsia" w:ascii="Calibri" w:eastAsia="宋体" w:cs="Times New Roman"/>
                <w:sz w:val="21"/>
              </w:rPr>
              <w:t>卒中综合展示、卒中运营情况、卒中医疗质控、急救时间</w:t>
            </w:r>
            <w:r>
              <w:rPr>
                <w:rFonts w:hint="eastAsia" w:ascii="Calibri" w:eastAsia="宋体" w:cs="Times New Roman"/>
                <w:sz w:val="21"/>
                <w:lang w:eastAsia="zh-CN"/>
              </w:rPr>
              <w:t>；</w:t>
            </w:r>
          </w:p>
          <w:p w14:paraId="58CA9D5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default" w:ascii="Calibri" w:eastAsia="宋体" w:cs="Times New Roman"/>
                <w:sz w:val="21"/>
                <w:lang w:val="en-US" w:eastAsia="zh-CN"/>
              </w:rPr>
            </w:pPr>
            <w:r>
              <w:rPr>
                <w:rFonts w:hint="default" w:ascii="Calibri" w:eastAsia="宋体" w:cs="Times New Roman"/>
                <w:sz w:val="21"/>
                <w:lang w:val="en-US" w:eastAsia="zh-CN"/>
              </w:rPr>
              <w:t>6.2卒中综合展示：支持卒中人次概要，以日/月的形式展示；关键适宜技术例数、月度质控指标达标率、实时预警、卒中诊断统计图、疾病时间分布等；</w:t>
            </w:r>
          </w:p>
          <w:p w14:paraId="0B62423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default" w:ascii="Calibri" w:eastAsia="宋体" w:cs="Times New Roman"/>
                <w:sz w:val="21"/>
                <w:lang w:val="en-US" w:eastAsia="zh-CN"/>
              </w:rPr>
            </w:pPr>
            <w:r>
              <w:rPr>
                <w:rFonts w:hint="default" w:ascii="Calibri" w:eastAsia="宋体" w:cs="Times New Roman"/>
                <w:sz w:val="21"/>
                <w:lang w:val="en-US" w:eastAsia="zh-CN"/>
              </w:rPr>
              <w:t>6.3卒中运营情况：支持月平均住院日、不同诊断类型的手术例数、科室手术治疗例数、住院费用情况、手术例数变化趋势、科室医生手术治疗占比、医生各类手术治疗情况等数据展示；</w:t>
            </w:r>
          </w:p>
          <w:p w14:paraId="6AD8E9E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default" w:ascii="Calibri" w:eastAsia="宋体" w:cs="Times New Roman"/>
                <w:sz w:val="21"/>
                <w:lang w:val="en-US" w:eastAsia="zh-CN"/>
              </w:rPr>
            </w:pPr>
            <w:r>
              <w:rPr>
                <w:rFonts w:hint="default" w:ascii="Calibri" w:eastAsia="宋体" w:cs="Times New Roman"/>
                <w:sz w:val="21"/>
                <w:lang w:val="en-US" w:eastAsia="zh-CN"/>
              </w:rPr>
              <w:t>6.4卒中医疗质控：支持按卒中中心官方标准进行急性脑梗死静脉溶栓率、DNT时间及达标率、DPT时间及达标率、吞咽困难筛查率等指标的质控；</w:t>
            </w:r>
          </w:p>
          <w:p w14:paraId="6561431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default" w:ascii="Calibri" w:eastAsia="宋体" w:cs="Times New Roman"/>
                <w:sz w:val="21"/>
                <w:lang w:val="en-US" w:eastAsia="zh-CN"/>
              </w:rPr>
            </w:pPr>
            <w:r>
              <w:rPr>
                <w:rFonts w:hint="default" w:ascii="Calibri" w:eastAsia="宋体" w:cs="Times New Roman"/>
                <w:sz w:val="21"/>
                <w:lang w:val="en-US" w:eastAsia="zh-CN"/>
              </w:rPr>
              <w:t>6.5卒中急救时间：支持缺血性卒中DNT中位数时间、DPT中位数时间、本月DNT耗时排行前5位、本月DPT耗时排名前5位、本月不同指标的平均时间，并支持展示当前患者时间轴信息轮播图；</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562F78D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5228E1D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5C365D2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3310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792197A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5F96263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62344CD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rPr>
            </w:pPr>
            <w:r>
              <w:rPr>
                <w:rFonts w:hint="eastAsia" w:ascii="Calibri" w:eastAsia="宋体" w:cs="Times New Roman"/>
                <w:sz w:val="21"/>
                <w:lang w:val="en-US" w:eastAsia="zh-CN"/>
              </w:rPr>
              <w:t>7.1</w:t>
            </w:r>
            <w:r>
              <w:rPr>
                <w:rFonts w:hint="eastAsia" w:ascii="Calibri" w:eastAsia="宋体" w:cs="Times New Roman"/>
                <w:sz w:val="21"/>
              </w:rPr>
              <w:t>绿道患者管理</w:t>
            </w:r>
            <w:r>
              <w:rPr>
                <w:rFonts w:hint="eastAsia" w:ascii="Calibri" w:eastAsia="宋体" w:cs="Times New Roman"/>
                <w:sz w:val="21"/>
                <w:lang w:eastAsia="zh-CN"/>
              </w:rPr>
              <w:t>：</w:t>
            </w:r>
            <w:r>
              <w:rPr>
                <w:rFonts w:hint="eastAsia" w:ascii="Calibri" w:eastAsia="宋体" w:cs="Times New Roman"/>
                <w:sz w:val="21"/>
              </w:rPr>
              <w:t>患者列表管理、绿道病历</w:t>
            </w:r>
          </w:p>
          <w:p w14:paraId="32D9EDE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7.2</w:t>
            </w:r>
            <w:r>
              <w:rPr>
                <w:rFonts w:hint="eastAsia" w:ascii="Calibri" w:eastAsia="宋体" w:cs="Times New Roman"/>
                <w:sz w:val="21"/>
              </w:rPr>
              <w:t>患者列表管理</w:t>
            </w:r>
            <w:r>
              <w:rPr>
                <w:rFonts w:hint="eastAsia" w:ascii="Calibri" w:eastAsia="宋体" w:cs="Times New Roman"/>
                <w:sz w:val="21"/>
                <w:lang w:eastAsia="zh-CN"/>
              </w:rPr>
              <w:t>：支持在患者列表中展示患者就诊流程相关的信息概览，并对展示列进行自定义设置；支持多个高级条件的查询、搜索；支持显示患者在当前科室、下级科室的转归状态提醒；支持多标签分组管理患者；支持以Excel表格形式一键导出当前页面所有患者信息；支持统计急诊科、神内科、导管室人员绩效；</w:t>
            </w:r>
          </w:p>
          <w:p w14:paraId="6580840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7.3绿道病历：按卒中中心填报要求展示定制化模块，至少应包含急救进程、远程会诊、基本信息、生命体征、主诉与病史、多维度评分、检查、检验、治疗处置、知情同意、患者转归等内容；卒中上报表单需与官网填报保持一致性；移动平板、云平台系统之间的数据支持以自动和手动两种方式进行双向同步。</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48C04DC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307567E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5F0B4EF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0FA6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right w:val="single" w:color="000000" w:sz="4" w:space="0"/>
            </w:tcBorders>
            <w:noWrap/>
            <w:vAlign w:val="center"/>
          </w:tcPr>
          <w:p w14:paraId="1DF911C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right w:val="single" w:color="000000" w:sz="4" w:space="0"/>
            </w:tcBorders>
            <w:noWrap/>
            <w:vAlign w:val="center"/>
          </w:tcPr>
          <w:p w14:paraId="3937FED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67B4E8F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yellow"/>
                <w:lang w:eastAsia="zh-CN"/>
              </w:rPr>
              <w:t>■</w:t>
            </w:r>
            <w:r>
              <w:rPr>
                <w:rFonts w:hint="eastAsia" w:ascii="Calibri" w:eastAsia="宋体" w:cs="Times New Roman"/>
                <w:sz w:val="21"/>
                <w:highlight w:val="yellow"/>
                <w:lang w:val="en-US" w:eastAsia="zh-CN"/>
              </w:rPr>
              <w:t>8.1</w:t>
            </w:r>
            <w:r>
              <w:rPr>
                <w:rFonts w:hint="eastAsia" w:ascii="Calibri" w:eastAsia="宋体" w:cs="Times New Roman"/>
                <w:sz w:val="21"/>
                <w:highlight w:val="yellow"/>
              </w:rPr>
              <w:t>数据直报</w:t>
            </w:r>
            <w:r>
              <w:rPr>
                <w:rFonts w:hint="eastAsia" w:ascii="Calibri" w:eastAsia="宋体" w:cs="Times New Roman"/>
                <w:sz w:val="21"/>
                <w:highlight w:val="yellow"/>
                <w:lang w:eastAsia="zh-CN"/>
              </w:rPr>
              <w:t>：</w:t>
            </w:r>
            <w:r>
              <w:rPr>
                <w:rFonts w:hint="eastAsia" w:ascii="Calibri" w:eastAsia="宋体" w:cs="Times New Roman"/>
                <w:sz w:val="21"/>
              </w:rPr>
              <w:t>支持将卒中患者的档案通过人工或系统审核校验后直接上报至国家脑卒中防治数据库</w:t>
            </w:r>
            <w:r>
              <w:rPr>
                <w:rFonts w:hint="eastAsia" w:ascii="Calibri" w:eastAsia="宋体" w:cs="Times New Roman"/>
                <w:sz w:val="21"/>
                <w:lang w:eastAsia="zh-CN"/>
              </w:rPr>
              <w:t>；</w:t>
            </w:r>
          </w:p>
          <w:p w14:paraId="00A4954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val="en-US" w:eastAsia="zh-CN"/>
              </w:rPr>
              <w:t>8.2</w:t>
            </w:r>
            <w:r>
              <w:rPr>
                <w:rFonts w:hint="eastAsia" w:ascii="Calibri" w:eastAsia="宋体" w:cs="Times New Roman"/>
                <w:sz w:val="21"/>
                <w:lang w:eastAsia="zh-CN"/>
              </w:rPr>
              <w:t>支持将卒中患者的档案通过人工或系统审核校验后直接上报至国家脑卒中防治数据库，完成认证标准所要求有效信息的准确录入；</w:t>
            </w:r>
          </w:p>
          <w:p w14:paraId="0C5936A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rPr>
            </w:pPr>
            <w:r>
              <w:rPr>
                <w:rFonts w:hint="eastAsia" w:ascii="Calibri" w:eastAsia="宋体" w:cs="Times New Roman"/>
                <w:sz w:val="21"/>
                <w:lang w:val="en-US" w:eastAsia="zh-CN"/>
              </w:rPr>
              <w:t>8.3</w:t>
            </w:r>
            <w:r>
              <w:rPr>
                <w:rFonts w:hint="eastAsia" w:ascii="Calibri" w:eastAsia="宋体" w:cs="Times New Roman"/>
                <w:sz w:val="21"/>
                <w:lang w:eastAsia="zh-CN"/>
              </w:rPr>
              <w:t>支持对接中国卒中急救地图，通过人工或系统审核校验后直接上报。</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2771F19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02AC92F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right w:val="single" w:color="000000" w:sz="4" w:space="0"/>
            </w:tcBorders>
            <w:noWrap/>
            <w:vAlign w:val="center"/>
          </w:tcPr>
          <w:p w14:paraId="2C3E6D7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20BB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vMerge w:val="continue"/>
            <w:tcBorders>
              <w:left w:val="single" w:color="000000" w:sz="4" w:space="0"/>
              <w:bottom w:val="single" w:color="000000" w:sz="4" w:space="0"/>
              <w:right w:val="single" w:color="000000" w:sz="4" w:space="0"/>
            </w:tcBorders>
            <w:noWrap/>
            <w:vAlign w:val="center"/>
          </w:tcPr>
          <w:p w14:paraId="04E925E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宋体" w:eastAsia="宋体" w:cs="宋体"/>
                <w:b/>
                <w:bCs w:val="0"/>
                <w:sz w:val="21"/>
                <w:szCs w:val="24"/>
                <w:lang w:val="en-US" w:eastAsia="zh-CN"/>
              </w:rPr>
            </w:pPr>
          </w:p>
        </w:tc>
        <w:tc>
          <w:tcPr>
            <w:tcW w:w="1695" w:type="dxa"/>
            <w:vMerge w:val="continue"/>
            <w:tcBorders>
              <w:left w:val="single" w:color="000000" w:sz="4" w:space="0"/>
              <w:bottom w:val="single" w:color="000000" w:sz="4" w:space="0"/>
              <w:right w:val="single" w:color="000000" w:sz="4" w:space="0"/>
            </w:tcBorders>
            <w:noWrap/>
            <w:vAlign w:val="center"/>
          </w:tcPr>
          <w:p w14:paraId="0011806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4E8C061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none"/>
                <w:lang w:val="en-US" w:eastAsia="zh-CN"/>
              </w:rPr>
              <w:t>9.1</w:t>
            </w:r>
            <w:r>
              <w:rPr>
                <w:rFonts w:hint="eastAsia" w:ascii="Calibri" w:eastAsia="宋体" w:cs="Times New Roman"/>
                <w:sz w:val="21"/>
                <w:highlight w:val="none"/>
              </w:rPr>
              <w:t>数据统计分析与质控分析</w:t>
            </w:r>
            <w:r>
              <w:rPr>
                <w:rFonts w:hint="eastAsia" w:ascii="Calibri" w:eastAsia="宋体" w:cs="Times New Roman"/>
                <w:sz w:val="21"/>
                <w:lang w:eastAsia="zh-CN"/>
              </w:rPr>
              <w:t>：</w:t>
            </w:r>
            <w:r>
              <w:rPr>
                <w:rFonts w:hint="eastAsia" w:ascii="Calibri" w:eastAsia="宋体" w:cs="Times New Roman"/>
                <w:sz w:val="21"/>
              </w:rPr>
              <w:t>卒中病历分析、卒中救治流程、卒中上报情况、卒中官方指标</w:t>
            </w:r>
            <w:r>
              <w:rPr>
                <w:rFonts w:hint="eastAsia" w:ascii="Calibri" w:eastAsia="宋体" w:cs="Times New Roman"/>
                <w:sz w:val="21"/>
                <w:lang w:eastAsia="zh-CN"/>
              </w:rPr>
              <w:t>；</w:t>
            </w:r>
          </w:p>
          <w:p w14:paraId="499175E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9.2卒中病历分析：能够展示院外部分数据的质控指标，包括急救转运时间节点、收治及转院病人的数量及分布情况等数据的统计分析，并生成动态趋势图；</w:t>
            </w:r>
          </w:p>
          <w:p w14:paraId="5F6E84D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highlight w:val="yellow"/>
                <w:lang w:eastAsia="zh-CN"/>
              </w:rPr>
              <w:t>■9.3卒中救治流程</w:t>
            </w:r>
            <w:r>
              <w:rPr>
                <w:rFonts w:hint="eastAsia" w:ascii="Calibri" w:eastAsia="宋体" w:cs="Times New Roman"/>
                <w:sz w:val="21"/>
                <w:lang w:eastAsia="zh-CN"/>
              </w:rPr>
              <w:t>：能够展示院中关键就诊流程的时间质控指标；能够对技术开展情况进行统计分析；</w:t>
            </w:r>
          </w:p>
          <w:p w14:paraId="44F89C9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9.4卒中上报情况：支持针对上报的统计分析，包含诊断分布、上报数量、科室填报量等质控指标；</w:t>
            </w:r>
          </w:p>
          <w:p w14:paraId="024E242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both"/>
              <w:textAlignment w:val="auto"/>
              <w:rPr>
                <w:rFonts w:hint="eastAsia" w:ascii="Calibri" w:eastAsia="宋体" w:cs="Times New Roman"/>
                <w:sz w:val="21"/>
                <w:lang w:eastAsia="zh-CN"/>
              </w:rPr>
            </w:pPr>
            <w:r>
              <w:rPr>
                <w:rFonts w:hint="eastAsia" w:ascii="Calibri" w:eastAsia="宋体" w:cs="Times New Roman"/>
                <w:sz w:val="21"/>
                <w:lang w:eastAsia="zh-CN"/>
              </w:rPr>
              <w:t>9.5卒中官方指标：提供国家省市质控要求的关键近30个质控指标结果及变化趋势。</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2B3E0B5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003E826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套</w:t>
            </w:r>
          </w:p>
        </w:tc>
        <w:tc>
          <w:tcPr>
            <w:tcW w:w="976" w:type="dxa"/>
            <w:vMerge w:val="continue"/>
            <w:tcBorders>
              <w:left w:val="single" w:color="000000" w:sz="4" w:space="0"/>
              <w:bottom w:val="single" w:color="000000" w:sz="4" w:space="0"/>
              <w:right w:val="single" w:color="000000" w:sz="4" w:space="0"/>
            </w:tcBorders>
            <w:noWrap/>
            <w:vAlign w:val="center"/>
          </w:tcPr>
          <w:p w14:paraId="630A36E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p>
        </w:tc>
      </w:tr>
      <w:tr w14:paraId="0B7B6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25F6629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2</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16D48CC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仿宋" w:eastAsia="宋体" w:cs="仿宋"/>
                <w:b/>
                <w:bCs/>
                <w:sz w:val="21"/>
                <w:szCs w:val="28"/>
              </w:rPr>
            </w:pPr>
            <w:r>
              <w:rPr>
                <w:rFonts w:hint="eastAsia" w:ascii="Calibri" w:eastAsia="宋体" w:cs="Times New Roman"/>
                <w:b/>
                <w:bCs/>
                <w:sz w:val="21"/>
              </w:rPr>
              <w:t>系统接口</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31C691D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系统支持与医院信息系统对接</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279ECA8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Calibri" w:eastAsia="宋体" w:cs="Times New Roman"/>
                <w:kern w:val="2"/>
                <w:sz w:val="21"/>
                <w:szCs w:val="24"/>
                <w:lang w:val="en-US" w:eastAsia="zh-CN" w:bidi="ar-SA"/>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0E08FA1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hAnsi="Calibri" w:eastAsia="宋体" w:cs="Times New Roman"/>
                <w:kern w:val="2"/>
                <w:sz w:val="21"/>
                <w:szCs w:val="24"/>
                <w:lang w:val="en-US" w:eastAsia="zh-CN" w:bidi="ar-SA"/>
              </w:rPr>
            </w:pPr>
            <w:r>
              <w:rPr>
                <w:rFonts w:hint="eastAsia" w:ascii="Calibri" w:eastAsia="宋体" w:cs="Times New Roman"/>
                <w:sz w:val="21"/>
              </w:rPr>
              <w:t>套</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636F1D6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30000</w:t>
            </w:r>
          </w:p>
        </w:tc>
      </w:tr>
      <w:tr w14:paraId="5C51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5BE4FD5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3</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54484EC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b/>
                <w:bCs/>
                <w:sz w:val="21"/>
              </w:rPr>
            </w:pPr>
            <w:r>
              <w:rPr>
                <w:rFonts w:hint="eastAsia" w:ascii="Calibri" w:eastAsia="宋体" w:cs="Times New Roman"/>
                <w:b/>
                <w:bCs/>
                <w:sz w:val="21"/>
              </w:rPr>
              <w:t>平板电脑</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1BFF54A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与卒中中心APP兼容；</w:t>
            </w:r>
          </w:p>
          <w:p w14:paraId="2848B50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cs="Times New Roman"/>
                <w:sz w:val="21"/>
                <w:highlight w:val="none"/>
                <w:lang w:val="en-US" w:eastAsia="zh-CN"/>
              </w:rPr>
            </w:pPr>
            <w:r>
              <w:rPr>
                <w:rFonts w:hint="eastAsia" w:cs="Times New Roman"/>
                <w:sz w:val="21"/>
                <w:highlight w:val="none"/>
                <w:lang w:val="en-US" w:eastAsia="zh-CN"/>
              </w:rPr>
              <w:t>系统版本不低于安卓13.0版本或鸿蒙</w:t>
            </w:r>
            <w:r>
              <w:rPr>
                <w:rFonts w:hint="eastAsia" w:cs="Times New Roman"/>
                <w:color w:val="auto"/>
                <w:sz w:val="21"/>
                <w:highlight w:val="none"/>
                <w:lang w:val="en-US" w:eastAsia="zh-CN"/>
              </w:rPr>
              <w:t>4.2</w:t>
            </w:r>
            <w:r>
              <w:rPr>
                <w:rFonts w:hint="eastAsia" w:cs="Times New Roman"/>
                <w:sz w:val="21"/>
                <w:highlight w:val="none"/>
                <w:lang w:val="en-US" w:eastAsia="zh-CN"/>
              </w:rPr>
              <w:t>版本；</w:t>
            </w:r>
          </w:p>
          <w:p w14:paraId="6AEA8DD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highlight w:val="none"/>
              </w:rPr>
            </w:pPr>
            <w:r>
              <w:rPr>
                <w:rFonts w:hint="eastAsia" w:ascii="Calibri" w:eastAsia="宋体" w:cs="Times New Roman"/>
                <w:sz w:val="21"/>
                <w:highlight w:val="none"/>
              </w:rPr>
              <w:t>支持4G/5G/WiFi；</w:t>
            </w:r>
          </w:p>
          <w:p w14:paraId="60ECF9B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cs="Times New Roman"/>
                <w:sz w:val="21"/>
                <w:highlight w:val="none"/>
                <w:lang w:val="en-US" w:eastAsia="zh-CN"/>
              </w:rPr>
            </w:pPr>
            <w:r>
              <w:rPr>
                <w:rFonts w:hint="eastAsia" w:cs="Times New Roman"/>
                <w:b/>
                <w:bCs/>
                <w:color w:val="FF0000"/>
                <w:sz w:val="21"/>
                <w:highlight w:val="none"/>
                <w:lang w:val="en-US" w:eastAsia="zh-CN"/>
              </w:rPr>
              <w:t>需包含物联网卡</w:t>
            </w:r>
            <w:r>
              <w:rPr>
                <w:rFonts w:hint="eastAsia" w:cs="Times New Roman"/>
                <w:sz w:val="21"/>
                <w:highlight w:val="none"/>
                <w:lang w:val="en-US" w:eastAsia="zh-CN"/>
              </w:rPr>
              <w:t>；</w:t>
            </w:r>
          </w:p>
          <w:p w14:paraId="18A5154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highlight w:val="none"/>
              </w:rPr>
            </w:pPr>
            <w:r>
              <w:rPr>
                <w:rFonts w:hint="eastAsia" w:ascii="Calibri" w:eastAsia="宋体" w:cs="Times New Roman"/>
                <w:sz w:val="21"/>
                <w:highlight w:val="none"/>
              </w:rPr>
              <w:t>电池容量≥7000mAh；</w:t>
            </w:r>
          </w:p>
          <w:p w14:paraId="425D9D9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highlight w:val="none"/>
              </w:rPr>
            </w:pPr>
            <w:r>
              <w:rPr>
                <w:rFonts w:hint="eastAsia" w:ascii="Calibri" w:eastAsia="宋体" w:cs="Times New Roman"/>
                <w:sz w:val="21"/>
                <w:highlight w:val="none"/>
              </w:rPr>
              <w:t>存储≥8GB+256GB；CPU≥八核，主频≥2.4GHz；分辨率≥1200×2000；</w:t>
            </w:r>
          </w:p>
          <w:p w14:paraId="78E556B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cs="Times New Roman"/>
                <w:sz w:val="21"/>
                <w:highlight w:val="none"/>
                <w:lang w:eastAsia="zh-CN"/>
              </w:rPr>
            </w:pPr>
            <w:r>
              <w:rPr>
                <w:rFonts w:hint="eastAsia" w:ascii="Calibri" w:eastAsia="宋体" w:cs="Times New Roman"/>
                <w:sz w:val="21"/>
                <w:highlight w:val="none"/>
              </w:rPr>
              <w:t>屏幕尺寸≥10英寸</w:t>
            </w:r>
            <w:r>
              <w:rPr>
                <w:rFonts w:hint="eastAsia" w:cs="Times New Roman"/>
                <w:sz w:val="21"/>
                <w:highlight w:val="none"/>
                <w:lang w:eastAsia="zh-CN"/>
              </w:rPr>
              <w:t>；</w:t>
            </w:r>
          </w:p>
          <w:p w14:paraId="63FF065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Calibri" w:eastAsia="宋体" w:cs="Times New Roman"/>
                <w:sz w:val="21"/>
                <w:lang w:val="en-US" w:eastAsia="zh-CN"/>
              </w:rPr>
            </w:pPr>
            <w:r>
              <w:rPr>
                <w:rFonts w:hint="eastAsia" w:cs="Times New Roman"/>
                <w:b/>
                <w:bCs/>
                <w:color w:val="FF0000"/>
                <w:sz w:val="21"/>
                <w:highlight w:val="none"/>
                <w:lang w:val="en-US" w:eastAsia="zh-CN"/>
              </w:rPr>
              <w:t>需符合</w:t>
            </w:r>
            <w:r>
              <w:rPr>
                <w:rFonts w:hint="eastAsia" w:cs="Times New Roman"/>
                <w:b/>
                <w:bCs/>
                <w:color w:val="FF0000"/>
                <w:sz w:val="21"/>
                <w:highlight w:val="none"/>
                <w:lang w:val="en-US" w:eastAsia="zh-CN"/>
              </w:rPr>
              <w:fldChar w:fldCharType="begin"/>
            </w:r>
            <w:r>
              <w:rPr>
                <w:rFonts w:hint="eastAsia" w:cs="Times New Roman"/>
                <w:b/>
                <w:bCs/>
                <w:color w:val="FF0000"/>
                <w:sz w:val="21"/>
                <w:highlight w:val="none"/>
                <w:lang w:val="en-US" w:eastAsia="zh-CN"/>
              </w:rPr>
              <w:instrText xml:space="preserve"> HYPERLINK "javascript:void(0)" </w:instrText>
            </w:r>
            <w:r>
              <w:rPr>
                <w:rFonts w:hint="eastAsia" w:cs="Times New Roman"/>
                <w:b/>
                <w:bCs/>
                <w:color w:val="FF0000"/>
                <w:sz w:val="21"/>
                <w:highlight w:val="none"/>
                <w:lang w:val="en-US" w:eastAsia="zh-CN"/>
              </w:rPr>
              <w:fldChar w:fldCharType="separate"/>
            </w:r>
            <w:r>
              <w:rPr>
                <w:rFonts w:hint="eastAsia" w:cs="Times New Roman"/>
                <w:b/>
                <w:bCs/>
                <w:color w:val="FF0000"/>
                <w:sz w:val="21"/>
                <w:highlight w:val="none"/>
                <w:lang w:val="en-US" w:eastAsia="zh-CN"/>
              </w:rPr>
              <w:t>GB 28380-2025</w:t>
            </w:r>
            <w:r>
              <w:rPr>
                <w:rFonts w:hint="eastAsia" w:cs="Times New Roman"/>
                <w:b/>
                <w:bCs/>
                <w:color w:val="FF0000"/>
                <w:sz w:val="21"/>
                <w:highlight w:val="none"/>
                <w:lang w:val="en-US" w:eastAsia="zh-CN"/>
              </w:rPr>
              <w:fldChar w:fldCharType="end"/>
            </w:r>
            <w:r>
              <w:rPr>
                <w:rFonts w:hint="eastAsia" w:cs="Times New Roman"/>
                <w:b/>
                <w:bCs/>
                <w:color w:val="FF0000"/>
                <w:sz w:val="21"/>
                <w:highlight w:val="none"/>
                <w:lang w:val="en-US" w:eastAsia="zh-CN"/>
              </w:rPr>
              <w:t>标准（节能产品）</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41B9786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5</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7DF3925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台</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10A743E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eastAsia="宋体" w:cs="Times New Roman"/>
                <w:sz w:val="21"/>
                <w:lang w:val="en-US" w:eastAsia="zh-CN"/>
              </w:rPr>
            </w:pPr>
            <w:r>
              <w:rPr>
                <w:rFonts w:hint="eastAsia" w:ascii="Calibri" w:eastAsia="宋体" w:cs="Times New Roman"/>
                <w:sz w:val="21"/>
                <w:lang w:val="en-US" w:eastAsia="zh-CN"/>
              </w:rPr>
              <w:t>4000</w:t>
            </w:r>
          </w:p>
        </w:tc>
      </w:tr>
      <w:tr w14:paraId="0303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047D09F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4</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25A9CBC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b/>
                <w:bCs/>
                <w:sz w:val="21"/>
              </w:rPr>
            </w:pPr>
            <w:r>
              <w:rPr>
                <w:rFonts w:hint="eastAsia" w:ascii="Calibri" w:eastAsia="宋体" w:cs="Times New Roman"/>
                <w:b/>
                <w:bCs/>
                <w:sz w:val="21"/>
              </w:rPr>
              <w:t>室内型定位基站</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773977B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BLE4.2/5.0；</w:t>
            </w:r>
          </w:p>
          <w:p w14:paraId="516BE40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ABS+PC外壳；</w:t>
            </w:r>
          </w:p>
          <w:p w14:paraId="6AFD81A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直径124mm×高40mm；</w:t>
            </w:r>
          </w:p>
          <w:p w14:paraId="0F96AAC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工作温度-20℃~70℃；</w:t>
            </w:r>
          </w:p>
          <w:p w14:paraId="042D59E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扫描距离≥100m（空旷环境）；</w:t>
            </w:r>
          </w:p>
          <w:p w14:paraId="08C224C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连接距离≥50m；</w:t>
            </w:r>
          </w:p>
          <w:p w14:paraId="5F8DD4C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支持PoE供电；</w:t>
            </w:r>
          </w:p>
          <w:p w14:paraId="57BD882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支持WPA/WPA2无线安全</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1343D49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5</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6360038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台</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42B95FE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eastAsia="宋体" w:cs="Times New Roman"/>
                <w:sz w:val="21"/>
                <w:lang w:val="en-US" w:eastAsia="zh-CN"/>
              </w:rPr>
            </w:pPr>
            <w:r>
              <w:rPr>
                <w:rFonts w:hint="eastAsia" w:ascii="Calibri" w:eastAsia="宋体" w:cs="Times New Roman"/>
                <w:sz w:val="21"/>
                <w:lang w:val="en-US" w:eastAsia="zh-CN"/>
              </w:rPr>
              <w:t>900</w:t>
            </w:r>
          </w:p>
        </w:tc>
      </w:tr>
      <w:tr w14:paraId="1E7B4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7469B6A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5</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0908874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b/>
                <w:bCs/>
                <w:sz w:val="21"/>
              </w:rPr>
            </w:pPr>
            <w:r>
              <w:rPr>
                <w:rFonts w:hint="eastAsia" w:ascii="Calibri" w:eastAsia="宋体" w:cs="Times New Roman"/>
                <w:b/>
                <w:bCs/>
                <w:sz w:val="21"/>
              </w:rPr>
              <w:t>电子胸卡</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3755823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IP67防水；</w:t>
            </w:r>
          </w:p>
          <w:p w14:paraId="3E6BE41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挂绳/3M胶贴安装；</w:t>
            </w:r>
          </w:p>
          <w:p w14:paraId="512AEFE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rPr>
              <w:t>一次性锂锰电池，电池容量850mAh</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151DB83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10</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3D7D9AD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rPr>
            </w:pPr>
            <w:r>
              <w:rPr>
                <w:rFonts w:hint="eastAsia" w:ascii="Calibri" w:eastAsia="宋体" w:cs="Times New Roman"/>
                <w:sz w:val="21"/>
              </w:rPr>
              <w:t>个</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789A0D9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eastAsia="宋体" w:cs="Times New Roman"/>
                <w:sz w:val="21"/>
                <w:lang w:val="en-US" w:eastAsia="zh-CN"/>
              </w:rPr>
            </w:pPr>
            <w:r>
              <w:rPr>
                <w:rFonts w:hint="eastAsia" w:ascii="Calibri" w:eastAsia="宋体" w:cs="Times New Roman"/>
                <w:sz w:val="21"/>
                <w:lang w:val="en-US" w:eastAsia="zh-CN"/>
              </w:rPr>
              <w:t>200</w:t>
            </w:r>
          </w:p>
        </w:tc>
      </w:tr>
      <w:tr w14:paraId="19AE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1" w:type="dxa"/>
            <w:tcBorders>
              <w:top w:val="single" w:color="000000" w:sz="4" w:space="0"/>
              <w:left w:val="single" w:color="000000" w:sz="4" w:space="0"/>
              <w:bottom w:val="single" w:color="000000" w:sz="4" w:space="0"/>
              <w:right w:val="single" w:color="000000" w:sz="4" w:space="0"/>
            </w:tcBorders>
            <w:noWrap/>
            <w:vAlign w:val="center"/>
          </w:tcPr>
          <w:p w14:paraId="158372A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hAnsi="宋体" w:eastAsia="宋体" w:cs="宋体"/>
                <w:b/>
                <w:bCs w:val="0"/>
                <w:sz w:val="21"/>
                <w:szCs w:val="24"/>
                <w:lang w:val="en-US" w:eastAsia="zh-CN"/>
              </w:rPr>
            </w:pPr>
            <w:r>
              <w:rPr>
                <w:rFonts w:hint="eastAsia" w:ascii="Calibri" w:hAnsi="宋体" w:eastAsia="宋体" w:cs="宋体"/>
                <w:b/>
                <w:bCs w:val="0"/>
                <w:sz w:val="21"/>
                <w:szCs w:val="24"/>
                <w:lang w:val="en-US" w:eastAsia="zh-CN"/>
              </w:rPr>
              <w:t>6</w:t>
            </w:r>
          </w:p>
        </w:tc>
        <w:tc>
          <w:tcPr>
            <w:tcW w:w="1695" w:type="dxa"/>
            <w:tcBorders>
              <w:top w:val="single" w:color="000000" w:sz="4" w:space="0"/>
              <w:left w:val="single" w:color="000000" w:sz="4" w:space="0"/>
              <w:bottom w:val="single" w:color="000000" w:sz="4" w:space="0"/>
              <w:right w:val="single" w:color="000000" w:sz="4" w:space="0"/>
            </w:tcBorders>
            <w:noWrap/>
            <w:vAlign w:val="center"/>
          </w:tcPr>
          <w:p w14:paraId="425C15D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b/>
                <w:bCs/>
                <w:sz w:val="21"/>
              </w:rPr>
            </w:pPr>
            <w:r>
              <w:rPr>
                <w:rFonts w:hint="eastAsia" w:ascii="Calibri" w:eastAsia="宋体" w:cs="Times New Roman"/>
                <w:b/>
                <w:bCs/>
                <w:sz w:val="21"/>
              </w:rPr>
              <w:t>预警大屏</w:t>
            </w:r>
          </w:p>
        </w:tc>
        <w:tc>
          <w:tcPr>
            <w:tcW w:w="4575" w:type="dxa"/>
            <w:tcBorders>
              <w:top w:val="single" w:color="000000" w:sz="4" w:space="0"/>
              <w:left w:val="single" w:color="000000" w:sz="4" w:space="0"/>
              <w:bottom w:val="single" w:color="000000" w:sz="4" w:space="0"/>
              <w:right w:val="single" w:color="000000" w:sz="4" w:space="0"/>
            </w:tcBorders>
            <w:noWrap/>
            <w:vAlign w:val="center"/>
          </w:tcPr>
          <w:p w14:paraId="4604B1F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eastAsia="宋体" w:cs="Times New Roman"/>
                <w:sz w:val="21"/>
                <w:lang w:eastAsia="zh-CN"/>
              </w:rPr>
            </w:pPr>
            <w:r>
              <w:rPr>
                <w:rFonts w:hint="eastAsia" w:ascii="Calibri" w:eastAsia="宋体" w:cs="Times New Roman"/>
                <w:sz w:val="21"/>
              </w:rPr>
              <w:t>≥55寸</w:t>
            </w:r>
            <w:r>
              <w:rPr>
                <w:rFonts w:hint="eastAsia" w:eastAsia="宋体" w:cs="Times New Roman"/>
                <w:sz w:val="21"/>
                <w:lang w:eastAsia="zh-CN"/>
              </w:rPr>
              <w:t>；</w:t>
            </w:r>
          </w:p>
          <w:p w14:paraId="4717016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eastAsia="宋体" w:cs="Times New Roman"/>
                <w:sz w:val="21"/>
                <w:lang w:eastAsia="zh-CN"/>
              </w:rPr>
            </w:pPr>
            <w:r>
              <w:rPr>
                <w:rFonts w:hint="eastAsia" w:ascii="Calibri" w:eastAsia="宋体" w:cs="Times New Roman"/>
                <w:sz w:val="21"/>
              </w:rPr>
              <w:t>Android系统</w:t>
            </w:r>
            <w:r>
              <w:rPr>
                <w:rFonts w:hint="eastAsia" w:eastAsia="宋体" w:cs="Times New Roman"/>
                <w:sz w:val="21"/>
                <w:lang w:eastAsia="zh-CN"/>
              </w:rPr>
              <w:t>；</w:t>
            </w:r>
          </w:p>
          <w:p w14:paraId="7DDD01D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eastAsia="宋体" w:cs="Times New Roman"/>
                <w:sz w:val="21"/>
                <w:highlight w:val="none"/>
                <w:lang w:eastAsia="zh-CN"/>
              </w:rPr>
            </w:pPr>
            <w:r>
              <w:rPr>
                <w:rFonts w:hint="eastAsia" w:ascii="Calibri" w:eastAsia="宋体" w:cs="Times New Roman"/>
                <w:sz w:val="21"/>
                <w:highlight w:val="none"/>
              </w:rPr>
              <w:t>≥4GB内存</w:t>
            </w:r>
            <w:r>
              <w:rPr>
                <w:rFonts w:hint="eastAsia" w:eastAsia="宋体" w:cs="Times New Roman"/>
                <w:sz w:val="21"/>
                <w:highlight w:val="none"/>
                <w:lang w:eastAsia="zh-CN"/>
              </w:rPr>
              <w:t>；</w:t>
            </w:r>
            <w:bookmarkStart w:id="26" w:name="_GoBack"/>
            <w:bookmarkEnd w:id="26"/>
          </w:p>
          <w:p w14:paraId="4C357EC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eastAsia="宋体" w:cs="Times New Roman"/>
                <w:sz w:val="21"/>
                <w:highlight w:val="none"/>
                <w:lang w:eastAsia="zh-CN"/>
              </w:rPr>
            </w:pPr>
            <w:r>
              <w:rPr>
                <w:rFonts w:hint="eastAsia" w:ascii="Calibri" w:eastAsia="宋体" w:cs="Times New Roman"/>
                <w:sz w:val="21"/>
                <w:highlight w:val="none"/>
              </w:rPr>
              <w:t>≥32GB存储</w:t>
            </w:r>
            <w:r>
              <w:rPr>
                <w:rFonts w:hint="eastAsia" w:eastAsia="宋体" w:cs="Times New Roman"/>
                <w:sz w:val="21"/>
                <w:highlight w:val="none"/>
                <w:lang w:eastAsia="zh-CN"/>
              </w:rPr>
              <w:t>；</w:t>
            </w:r>
          </w:p>
          <w:p w14:paraId="2515C14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Calibri" w:eastAsia="宋体" w:cs="Times New Roman"/>
                <w:sz w:val="21"/>
              </w:rPr>
            </w:pPr>
            <w:r>
              <w:rPr>
                <w:rFonts w:hint="eastAsia" w:ascii="Calibri" w:eastAsia="宋体" w:cs="Times New Roman"/>
                <w:sz w:val="21"/>
                <w:highlight w:val="none"/>
              </w:rPr>
              <w:t>四核A55架构</w:t>
            </w:r>
          </w:p>
        </w:tc>
        <w:tc>
          <w:tcPr>
            <w:tcW w:w="420" w:type="dxa"/>
            <w:tcBorders>
              <w:top w:val="single" w:color="000000" w:sz="4" w:space="0"/>
              <w:left w:val="single" w:color="000000" w:sz="4" w:space="0"/>
              <w:bottom w:val="single" w:color="000000" w:sz="4" w:space="0"/>
              <w:right w:val="single" w:color="000000" w:sz="4" w:space="0"/>
            </w:tcBorders>
            <w:noWrap/>
            <w:vAlign w:val="center"/>
          </w:tcPr>
          <w:p w14:paraId="11DA4FB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1</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71499A9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Calibri" w:eastAsia="宋体" w:cs="Times New Roman"/>
                <w:sz w:val="21"/>
                <w:lang w:val="en-US" w:eastAsia="zh-CN"/>
              </w:rPr>
            </w:pPr>
            <w:r>
              <w:rPr>
                <w:rFonts w:hint="eastAsia" w:ascii="Calibri" w:eastAsia="宋体" w:cs="Times New Roman"/>
                <w:sz w:val="21"/>
              </w:rPr>
              <w:t>台</w:t>
            </w:r>
          </w:p>
        </w:tc>
        <w:tc>
          <w:tcPr>
            <w:tcW w:w="976" w:type="dxa"/>
            <w:tcBorders>
              <w:top w:val="single" w:color="000000" w:sz="4" w:space="0"/>
              <w:left w:val="single" w:color="000000" w:sz="4" w:space="0"/>
              <w:bottom w:val="single" w:color="000000" w:sz="4" w:space="0"/>
              <w:right w:val="single" w:color="000000" w:sz="4" w:space="0"/>
            </w:tcBorders>
            <w:noWrap/>
            <w:vAlign w:val="center"/>
          </w:tcPr>
          <w:p w14:paraId="45928DE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Calibri" w:eastAsia="宋体" w:cs="Times New Roman"/>
                <w:sz w:val="21"/>
                <w:lang w:val="en-US" w:eastAsia="zh-CN"/>
              </w:rPr>
            </w:pPr>
            <w:r>
              <w:rPr>
                <w:rFonts w:hint="eastAsia" w:ascii="Calibri" w:eastAsia="宋体" w:cs="Times New Roman"/>
                <w:sz w:val="21"/>
                <w:lang w:val="en-US" w:eastAsia="zh-CN"/>
              </w:rPr>
              <w:t>5000</w:t>
            </w:r>
          </w:p>
        </w:tc>
      </w:tr>
    </w:tbl>
    <w:p w14:paraId="3B6379AB">
      <w:pPr>
        <w:keepNext/>
        <w:keepLines/>
        <w:pageBreakBefore w:val="0"/>
        <w:widowControl w:val="0"/>
        <w:numPr>
          <w:ilvl w:val="0"/>
          <w:numId w:val="0"/>
        </w:numPr>
        <w:kinsoku/>
        <w:wordWrap/>
        <w:overflowPunct/>
        <w:topLinePunct w:val="0"/>
        <w:autoSpaceDE/>
        <w:autoSpaceDN/>
        <w:bidi w:val="0"/>
        <w:adjustRightInd/>
        <w:snapToGrid/>
        <w:spacing w:beforeLines="0" w:afterLines="0" w:line="480" w:lineRule="exact"/>
        <w:textAlignment w:val="auto"/>
        <w:rPr>
          <w:rFonts w:hint="eastAsia" w:asciiTheme="minorEastAsia" w:hAnsiTheme="minorEastAsia" w:eastAsiaTheme="minorEastAsia" w:cstheme="minorEastAsia"/>
          <w:b/>
          <w:bCs/>
          <w:sz w:val="24"/>
          <w:szCs w:val="24"/>
          <w:lang w:val="en-US" w:eastAsia="zh-CN"/>
        </w:rPr>
      </w:pPr>
    </w:p>
    <w:p w14:paraId="0310836D">
      <w:pPr>
        <w:keepNext/>
        <w:keepLines/>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（二）技术参数（服务内容）</w:t>
      </w:r>
    </w:p>
    <w:p w14:paraId="05073638">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ascii="宋体" w:hAnsi="宋体" w:eastAsia="宋体" w:cs="宋体"/>
          <w:b/>
          <w:bCs/>
          <w:sz w:val="24"/>
          <w:szCs w:val="24"/>
        </w:rPr>
      </w:pPr>
      <w:r>
        <w:rPr>
          <w:rFonts w:hint="eastAsia" w:cs="宋体"/>
          <w:b/>
          <w:bCs/>
          <w:sz w:val="24"/>
          <w:szCs w:val="24"/>
          <w:lang w:val="en-US" w:eastAsia="zh-CN"/>
        </w:rPr>
        <w:t>1、</w:t>
      </w:r>
      <w:r>
        <w:rPr>
          <w:rFonts w:hint="eastAsia" w:ascii="宋体" w:hAnsi="宋体" w:eastAsia="宋体" w:cs="宋体"/>
          <w:b/>
          <w:bCs/>
          <w:sz w:val="24"/>
          <w:szCs w:val="24"/>
        </w:rPr>
        <w:t>项目概述</w:t>
      </w:r>
    </w:p>
    <w:p w14:paraId="5D9C8E5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ascii="宋体" w:hAnsi="宋体" w:eastAsia="宋体" w:cs="宋体"/>
          <w:b/>
          <w:bCs/>
          <w:sz w:val="24"/>
          <w:szCs w:val="24"/>
        </w:rPr>
      </w:pPr>
      <w:bookmarkStart w:id="0" w:name="_Toc239959357"/>
      <w:r>
        <w:rPr>
          <w:rFonts w:hint="eastAsia" w:ascii="宋体" w:hAnsi="宋体" w:eastAsia="宋体" w:cs="宋体"/>
          <w:b/>
          <w:bCs/>
          <w:sz w:val="24"/>
          <w:szCs w:val="24"/>
        </w:rPr>
        <w:t>1.1 项目背景</w:t>
      </w:r>
      <w:bookmarkEnd w:id="0"/>
    </w:p>
    <w:p w14:paraId="2B0CBAFA">
      <w:pPr>
        <w:keepNext/>
        <w:keepLines/>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脑卒中是我国居民死亡和致残的首位病因，具有发病率高、致残率高、死亡率高、复发率高的"四高"特点。对卒中患者而言，每延误一分钟，就有约190万个脑细胞死亡，卒中救治的关键在于"时间就是大脑"。</w:t>
      </w:r>
    </w:p>
    <w:p w14:paraId="63DFCDE1">
      <w:pPr>
        <w:keepNext/>
        <w:keepLines/>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国家卫生健康委脑卒中防治工程委员会持续推进卒中中心建设，实行"两级四层"（高级卒中中心、防治卒中中心；国家级示范中心、省级高级中心、地市级标准中心、县域防治中心）的分级管理体系。2025年《中国卒中中心建设指南》明确提出，二级及以上卒中中心静脉溶栓率应≥15%、大血管闭塞患者血管内治疗率应≥30%，DNT（入院到溶栓时间）中位数应≤45分钟。</w:t>
      </w:r>
    </w:p>
    <w:p w14:paraId="65BD9274">
      <w:pPr>
        <w:keepNext/>
        <w:keepLines/>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为贯彻落实国家卫健委关于急诊急救五大中心建设要求及《安徽省五大中心建设工作方案》等文件精神，马鞍山市中医院现启动卒中信息平台建设项目，旨在建立符合《中国卒中中心建设标准》及国家脑防委高级卒中中心评估指标的信息化支撑体系，实现院前急救、院内绿道、住院治疗全流程闭环管理，与国家卒中数据直报系统无缝对接，切实提升卒中患者救治效率，降低病死率与致残率。</w:t>
      </w:r>
    </w:p>
    <w:p w14:paraId="59A92D6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ascii="宋体" w:hAnsi="宋体" w:eastAsia="宋体" w:cs="宋体"/>
          <w:b/>
          <w:bCs/>
          <w:sz w:val="24"/>
          <w:szCs w:val="24"/>
        </w:rPr>
      </w:pPr>
      <w:bookmarkStart w:id="1" w:name="_Toc239959358"/>
      <w:r>
        <w:rPr>
          <w:rFonts w:hint="eastAsia" w:ascii="宋体" w:hAnsi="宋体" w:eastAsia="宋体" w:cs="宋体"/>
          <w:b/>
          <w:bCs/>
          <w:sz w:val="24"/>
          <w:szCs w:val="24"/>
        </w:rPr>
        <w:t>1.2 建设目标</w:t>
      </w:r>
      <w:bookmarkEnd w:id="1"/>
    </w:p>
    <w:p w14:paraId="32E9FBB5">
      <w:pPr>
        <w:keepNext/>
        <w:keepLines/>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本项目以"时间就是大脑"为核心理念，构建覆盖卒中全流程的信息化管理平台，实现以下目标：</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36"/>
        <w:gridCol w:w="1634"/>
        <w:gridCol w:w="6152"/>
      </w:tblGrid>
      <w:tr w14:paraId="7F18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736" w:type="dxa"/>
            <w:noWrap w:val="0"/>
            <w:tcMar>
              <w:top w:w="150" w:type="dxa"/>
              <w:left w:w="0" w:type="dxa"/>
              <w:bottom w:w="150" w:type="dxa"/>
              <w:right w:w="240" w:type="dxa"/>
            </w:tcMar>
            <w:vAlign w:val="center"/>
          </w:tcPr>
          <w:p w14:paraId="1554876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634" w:type="dxa"/>
            <w:noWrap w:val="0"/>
            <w:tcMar>
              <w:top w:w="150" w:type="dxa"/>
              <w:left w:w="240" w:type="dxa"/>
              <w:bottom w:w="150" w:type="dxa"/>
              <w:right w:w="240" w:type="dxa"/>
            </w:tcMar>
            <w:vAlign w:val="center"/>
          </w:tcPr>
          <w:p w14:paraId="1512BC0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目标</w:t>
            </w:r>
          </w:p>
        </w:tc>
        <w:tc>
          <w:tcPr>
            <w:tcW w:w="6152" w:type="dxa"/>
            <w:noWrap w:val="0"/>
            <w:tcMar>
              <w:top w:w="150" w:type="dxa"/>
              <w:left w:w="240" w:type="dxa"/>
              <w:bottom w:w="150" w:type="dxa"/>
              <w:right w:w="240" w:type="dxa"/>
            </w:tcMar>
            <w:vAlign w:val="center"/>
          </w:tcPr>
          <w:p w14:paraId="248CAED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说明</w:t>
            </w:r>
          </w:p>
        </w:tc>
      </w:tr>
      <w:tr w14:paraId="0D34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36" w:type="dxa"/>
            <w:noWrap w:val="0"/>
            <w:tcMar>
              <w:top w:w="150" w:type="dxa"/>
              <w:left w:w="0" w:type="dxa"/>
              <w:bottom w:w="150" w:type="dxa"/>
              <w:right w:w="240" w:type="dxa"/>
            </w:tcMar>
            <w:vAlign w:val="center"/>
          </w:tcPr>
          <w:p w14:paraId="46F7529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34" w:type="dxa"/>
            <w:noWrap w:val="0"/>
            <w:tcMar>
              <w:top w:w="150" w:type="dxa"/>
              <w:left w:w="240" w:type="dxa"/>
              <w:bottom w:w="150" w:type="dxa"/>
              <w:right w:w="240" w:type="dxa"/>
            </w:tcMar>
            <w:vAlign w:val="center"/>
          </w:tcPr>
          <w:p w14:paraId="233BC58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全流程闭环管理</w:t>
            </w:r>
          </w:p>
        </w:tc>
        <w:tc>
          <w:tcPr>
            <w:tcW w:w="6152" w:type="dxa"/>
            <w:noWrap w:val="0"/>
            <w:tcMar>
              <w:top w:w="150" w:type="dxa"/>
              <w:left w:w="240" w:type="dxa"/>
              <w:bottom w:w="150" w:type="dxa"/>
              <w:right w:w="0" w:type="dxa"/>
            </w:tcMar>
            <w:vAlign w:val="center"/>
          </w:tcPr>
          <w:p w14:paraId="48C6401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覆盖院前急救、院内绿道、住院治疗全流程，实现卒中患者救治全生命周期管理</w:t>
            </w:r>
          </w:p>
        </w:tc>
      </w:tr>
      <w:tr w14:paraId="6604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36" w:type="dxa"/>
            <w:noWrap w:val="0"/>
            <w:tcMar>
              <w:top w:w="150" w:type="dxa"/>
              <w:left w:w="0" w:type="dxa"/>
              <w:bottom w:w="150" w:type="dxa"/>
              <w:right w:w="240" w:type="dxa"/>
            </w:tcMar>
            <w:vAlign w:val="center"/>
          </w:tcPr>
          <w:p w14:paraId="328B432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634" w:type="dxa"/>
            <w:noWrap w:val="0"/>
            <w:tcMar>
              <w:top w:w="150" w:type="dxa"/>
              <w:left w:w="240" w:type="dxa"/>
              <w:bottom w:w="150" w:type="dxa"/>
              <w:right w:w="240" w:type="dxa"/>
            </w:tcMar>
            <w:vAlign w:val="center"/>
          </w:tcPr>
          <w:p w14:paraId="4231618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时间节点精准管控</w:t>
            </w:r>
          </w:p>
        </w:tc>
        <w:tc>
          <w:tcPr>
            <w:tcW w:w="6152" w:type="dxa"/>
            <w:noWrap w:val="0"/>
            <w:tcMar>
              <w:top w:w="150" w:type="dxa"/>
              <w:left w:w="240" w:type="dxa"/>
              <w:bottom w:w="150" w:type="dxa"/>
              <w:right w:w="0" w:type="dxa"/>
            </w:tcMar>
            <w:vAlign w:val="center"/>
          </w:tcPr>
          <w:p w14:paraId="07F4037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自动采集和记录卒中救治各关键时间节点（发病时间、入院时间、CT完成时间、DNT、DPT等），对超时节点进行醒目提示及超时时间提示</w:t>
            </w:r>
          </w:p>
        </w:tc>
      </w:tr>
      <w:tr w14:paraId="444A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36" w:type="dxa"/>
            <w:noWrap w:val="0"/>
            <w:tcMar>
              <w:top w:w="150" w:type="dxa"/>
              <w:left w:w="0" w:type="dxa"/>
              <w:bottom w:w="150" w:type="dxa"/>
              <w:right w:w="240" w:type="dxa"/>
            </w:tcMar>
            <w:vAlign w:val="center"/>
          </w:tcPr>
          <w:p w14:paraId="3909AE4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634" w:type="dxa"/>
            <w:noWrap w:val="0"/>
            <w:tcMar>
              <w:top w:w="150" w:type="dxa"/>
              <w:left w:w="240" w:type="dxa"/>
              <w:bottom w:w="150" w:type="dxa"/>
              <w:right w:w="240" w:type="dxa"/>
            </w:tcMar>
            <w:vAlign w:val="center"/>
          </w:tcPr>
          <w:p w14:paraId="1A9FEA8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数据一键直报</w:t>
            </w:r>
          </w:p>
        </w:tc>
        <w:tc>
          <w:tcPr>
            <w:tcW w:w="6152" w:type="dxa"/>
            <w:noWrap w:val="0"/>
            <w:tcMar>
              <w:top w:w="150" w:type="dxa"/>
              <w:left w:w="240" w:type="dxa"/>
              <w:bottom w:w="150" w:type="dxa"/>
              <w:right w:w="0" w:type="dxa"/>
            </w:tcMar>
            <w:vAlign w:val="center"/>
          </w:tcPr>
          <w:p w14:paraId="71E1DA0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与国家脑防委卒中数据直报系统无缝对接，实现数据自动上报</w:t>
            </w:r>
          </w:p>
        </w:tc>
      </w:tr>
      <w:tr w14:paraId="085D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36" w:type="dxa"/>
            <w:noWrap w:val="0"/>
            <w:tcMar>
              <w:top w:w="150" w:type="dxa"/>
              <w:left w:w="0" w:type="dxa"/>
              <w:bottom w:w="150" w:type="dxa"/>
              <w:right w:w="240" w:type="dxa"/>
            </w:tcMar>
            <w:vAlign w:val="center"/>
          </w:tcPr>
          <w:p w14:paraId="1363705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634" w:type="dxa"/>
            <w:noWrap w:val="0"/>
            <w:tcMar>
              <w:top w:w="150" w:type="dxa"/>
              <w:left w:w="240" w:type="dxa"/>
              <w:bottom w:w="150" w:type="dxa"/>
              <w:right w:w="240" w:type="dxa"/>
            </w:tcMar>
            <w:vAlign w:val="center"/>
          </w:tcPr>
          <w:p w14:paraId="0AC2B0C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智能质控与分析</w:t>
            </w:r>
          </w:p>
        </w:tc>
        <w:tc>
          <w:tcPr>
            <w:tcW w:w="6152" w:type="dxa"/>
            <w:noWrap w:val="0"/>
            <w:tcMar>
              <w:top w:w="150" w:type="dxa"/>
              <w:left w:w="240" w:type="dxa"/>
              <w:bottom w:w="150" w:type="dxa"/>
              <w:right w:w="0" w:type="dxa"/>
            </w:tcMar>
            <w:vAlign w:val="center"/>
          </w:tcPr>
          <w:p w14:paraId="38BAEF5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内置质控指标体系，自动生成质控报告，支撑卒中中心持续改进</w:t>
            </w:r>
          </w:p>
        </w:tc>
      </w:tr>
      <w:tr w14:paraId="13FE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36" w:type="dxa"/>
            <w:noWrap w:val="0"/>
            <w:tcMar>
              <w:top w:w="150" w:type="dxa"/>
              <w:left w:w="0" w:type="dxa"/>
              <w:bottom w:w="150" w:type="dxa"/>
              <w:right w:w="240" w:type="dxa"/>
            </w:tcMar>
            <w:vAlign w:val="center"/>
          </w:tcPr>
          <w:p w14:paraId="78AB235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634" w:type="dxa"/>
            <w:noWrap w:val="0"/>
            <w:tcMar>
              <w:top w:w="150" w:type="dxa"/>
              <w:left w:w="240" w:type="dxa"/>
              <w:bottom w:w="150" w:type="dxa"/>
              <w:right w:w="240" w:type="dxa"/>
            </w:tcMar>
            <w:vAlign w:val="center"/>
          </w:tcPr>
          <w:p w14:paraId="7107C00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多系统互联互通</w:t>
            </w:r>
          </w:p>
        </w:tc>
        <w:tc>
          <w:tcPr>
            <w:tcW w:w="6152" w:type="dxa"/>
            <w:noWrap w:val="0"/>
            <w:tcMar>
              <w:top w:w="150" w:type="dxa"/>
              <w:left w:w="240" w:type="dxa"/>
              <w:bottom w:w="150" w:type="dxa"/>
              <w:right w:w="0" w:type="dxa"/>
            </w:tcMar>
            <w:vAlign w:val="center"/>
          </w:tcPr>
          <w:p w14:paraId="4B9EB14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与医院现有HIS、LIS、PACS、EMR等系统深度集成，打破信息孤岛</w:t>
            </w:r>
          </w:p>
        </w:tc>
      </w:tr>
    </w:tbl>
    <w:p w14:paraId="25216D56">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2" w:name="_Toc239959359"/>
      <w:r>
        <w:rPr>
          <w:rFonts w:hint="eastAsia" w:eastAsia="宋体" w:cs="宋体"/>
          <w:b/>
          <w:bCs/>
          <w:sz w:val="24"/>
          <w:szCs w:val="24"/>
          <w:lang w:val="en-US" w:eastAsia="zh-CN"/>
        </w:rPr>
        <w:t>1.3 建设内容</w:t>
      </w:r>
      <w:bookmarkEnd w:id="2"/>
    </w:p>
    <w:p w14:paraId="30E4DDD4">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项目总体预算29万元，系统建设包括卒中的院内急救平台、卒中中心急救协同交互平台、智能数据集成和上报平台、卒中中心质控平台：</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6"/>
        <w:gridCol w:w="1995"/>
        <w:gridCol w:w="5671"/>
      </w:tblGrid>
      <w:tr w14:paraId="1425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856" w:type="dxa"/>
            <w:noWrap w:val="0"/>
            <w:tcMar>
              <w:top w:w="150" w:type="dxa"/>
              <w:left w:w="0" w:type="dxa"/>
              <w:bottom w:w="150" w:type="dxa"/>
              <w:right w:w="240" w:type="dxa"/>
            </w:tcMar>
            <w:vAlign w:val="center"/>
          </w:tcPr>
          <w:p w14:paraId="3C6C015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995" w:type="dxa"/>
            <w:noWrap w:val="0"/>
            <w:tcMar>
              <w:top w:w="150" w:type="dxa"/>
              <w:left w:w="240" w:type="dxa"/>
              <w:bottom w:w="150" w:type="dxa"/>
              <w:right w:w="240" w:type="dxa"/>
            </w:tcMar>
            <w:vAlign w:val="center"/>
          </w:tcPr>
          <w:p w14:paraId="7E08F2A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平台名称</w:t>
            </w:r>
          </w:p>
        </w:tc>
        <w:tc>
          <w:tcPr>
            <w:tcW w:w="5671" w:type="dxa"/>
            <w:noWrap w:val="0"/>
            <w:tcMar>
              <w:top w:w="150" w:type="dxa"/>
              <w:left w:w="240" w:type="dxa"/>
              <w:bottom w:w="150" w:type="dxa"/>
              <w:right w:w="240" w:type="dxa"/>
            </w:tcMar>
            <w:vAlign w:val="center"/>
          </w:tcPr>
          <w:p w14:paraId="5BC6FA6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核心功能</w:t>
            </w:r>
          </w:p>
        </w:tc>
      </w:tr>
      <w:tr w14:paraId="7BCA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856" w:type="dxa"/>
            <w:noWrap w:val="0"/>
            <w:tcMar>
              <w:top w:w="150" w:type="dxa"/>
              <w:left w:w="0" w:type="dxa"/>
              <w:bottom w:w="150" w:type="dxa"/>
              <w:right w:w="240" w:type="dxa"/>
            </w:tcMar>
            <w:vAlign w:val="center"/>
          </w:tcPr>
          <w:p w14:paraId="4BB733C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95" w:type="dxa"/>
            <w:noWrap w:val="0"/>
            <w:tcMar>
              <w:top w:w="150" w:type="dxa"/>
              <w:left w:w="240" w:type="dxa"/>
              <w:bottom w:w="150" w:type="dxa"/>
              <w:right w:w="240" w:type="dxa"/>
            </w:tcMar>
            <w:vAlign w:val="center"/>
          </w:tcPr>
          <w:p w14:paraId="2637451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卒中中心急救协同交互平台</w:t>
            </w:r>
          </w:p>
        </w:tc>
        <w:tc>
          <w:tcPr>
            <w:tcW w:w="5671" w:type="dxa"/>
            <w:noWrap w:val="0"/>
            <w:tcMar>
              <w:top w:w="150" w:type="dxa"/>
              <w:left w:w="240" w:type="dxa"/>
              <w:bottom w:w="150" w:type="dxa"/>
              <w:right w:w="0" w:type="dxa"/>
            </w:tcMar>
            <w:vAlign w:val="center"/>
          </w:tcPr>
          <w:p w14:paraId="44833A8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实现院前院内多种方式的即时沟通和医疗信息共享，多学科协同救治</w:t>
            </w:r>
          </w:p>
        </w:tc>
      </w:tr>
      <w:tr w14:paraId="67CA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856" w:type="dxa"/>
            <w:noWrap w:val="0"/>
            <w:tcMar>
              <w:top w:w="150" w:type="dxa"/>
              <w:left w:w="0" w:type="dxa"/>
              <w:bottom w:w="150" w:type="dxa"/>
              <w:right w:w="240" w:type="dxa"/>
            </w:tcMar>
            <w:vAlign w:val="center"/>
          </w:tcPr>
          <w:p w14:paraId="2FA327C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995" w:type="dxa"/>
            <w:noWrap w:val="0"/>
            <w:tcMar>
              <w:top w:w="150" w:type="dxa"/>
              <w:left w:w="240" w:type="dxa"/>
              <w:bottom w:w="150" w:type="dxa"/>
              <w:right w:w="240" w:type="dxa"/>
            </w:tcMar>
            <w:vAlign w:val="center"/>
          </w:tcPr>
          <w:p w14:paraId="19FBCC7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智能数据集成和上报平台</w:t>
            </w:r>
          </w:p>
        </w:tc>
        <w:tc>
          <w:tcPr>
            <w:tcW w:w="5671" w:type="dxa"/>
            <w:noWrap w:val="0"/>
            <w:tcMar>
              <w:top w:w="150" w:type="dxa"/>
              <w:left w:w="240" w:type="dxa"/>
              <w:bottom w:w="150" w:type="dxa"/>
              <w:right w:w="0" w:type="dxa"/>
            </w:tcMar>
            <w:vAlign w:val="center"/>
          </w:tcPr>
          <w:p w14:paraId="53F1F03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智能时间采集、院内信息系统对接，建立院级专病数据库，卒中病种一键直报国家数据库</w:t>
            </w:r>
          </w:p>
        </w:tc>
      </w:tr>
      <w:tr w14:paraId="130A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856" w:type="dxa"/>
            <w:noWrap w:val="0"/>
            <w:tcMar>
              <w:top w:w="150" w:type="dxa"/>
              <w:left w:w="0" w:type="dxa"/>
              <w:bottom w:w="150" w:type="dxa"/>
              <w:right w:w="240" w:type="dxa"/>
            </w:tcMar>
            <w:vAlign w:val="center"/>
          </w:tcPr>
          <w:p w14:paraId="77F46DD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995" w:type="dxa"/>
            <w:noWrap w:val="0"/>
            <w:tcMar>
              <w:top w:w="150" w:type="dxa"/>
              <w:left w:w="240" w:type="dxa"/>
              <w:bottom w:w="150" w:type="dxa"/>
              <w:right w:w="240" w:type="dxa"/>
            </w:tcMar>
            <w:vAlign w:val="center"/>
          </w:tcPr>
          <w:p w14:paraId="2E2F80B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卒中中心质控平台</w:t>
            </w:r>
          </w:p>
        </w:tc>
        <w:tc>
          <w:tcPr>
            <w:tcW w:w="5671" w:type="dxa"/>
            <w:noWrap w:val="0"/>
            <w:tcMar>
              <w:top w:w="150" w:type="dxa"/>
              <w:left w:w="240" w:type="dxa"/>
              <w:bottom w:w="150" w:type="dxa"/>
              <w:right w:w="0" w:type="dxa"/>
            </w:tcMar>
            <w:vAlign w:val="center"/>
          </w:tcPr>
          <w:p w14:paraId="5C5BB04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按照国家相关质控要求，展示不同维度的质控报告，满足卒中中心认证与再认证要求</w:t>
            </w:r>
          </w:p>
        </w:tc>
      </w:tr>
    </w:tbl>
    <w:p w14:paraId="32C6E890">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3" w:name="_Toc239959360"/>
      <w:r>
        <w:rPr>
          <w:rFonts w:hint="eastAsia" w:eastAsia="宋体" w:cs="宋体"/>
          <w:b/>
          <w:bCs/>
          <w:sz w:val="24"/>
          <w:szCs w:val="24"/>
          <w:lang w:val="en-US" w:eastAsia="zh-CN"/>
        </w:rPr>
        <w:t>2、总体架构</w:t>
      </w:r>
      <w:bookmarkEnd w:id="3"/>
    </w:p>
    <w:p w14:paraId="52019669">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4" w:name="_Toc239959361"/>
      <w:r>
        <w:rPr>
          <w:rFonts w:hint="eastAsia" w:eastAsia="宋体" w:cs="宋体"/>
          <w:b/>
          <w:bCs/>
          <w:sz w:val="24"/>
          <w:szCs w:val="24"/>
          <w:lang w:val="en-US" w:eastAsia="zh-CN"/>
        </w:rPr>
        <w:t>2.1 架构设计原则</w:t>
      </w:r>
      <w:bookmarkEnd w:id="4"/>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26"/>
        <w:gridCol w:w="6796"/>
      </w:tblGrid>
      <w:tr w14:paraId="2A01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726" w:type="dxa"/>
            <w:noWrap w:val="0"/>
            <w:tcMar>
              <w:top w:w="150" w:type="dxa"/>
              <w:left w:w="0" w:type="dxa"/>
              <w:bottom w:w="150" w:type="dxa"/>
              <w:right w:w="240" w:type="dxa"/>
            </w:tcMar>
            <w:vAlign w:val="center"/>
          </w:tcPr>
          <w:p w14:paraId="7B261D9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原则</w:t>
            </w:r>
          </w:p>
        </w:tc>
        <w:tc>
          <w:tcPr>
            <w:tcW w:w="6796" w:type="dxa"/>
            <w:noWrap w:val="0"/>
            <w:tcMar>
              <w:top w:w="150" w:type="dxa"/>
              <w:left w:w="240" w:type="dxa"/>
              <w:bottom w:w="150" w:type="dxa"/>
              <w:right w:w="240" w:type="dxa"/>
            </w:tcMar>
            <w:vAlign w:val="center"/>
          </w:tcPr>
          <w:p w14:paraId="48774B4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说明</w:t>
            </w:r>
          </w:p>
        </w:tc>
      </w:tr>
      <w:tr w14:paraId="4B61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26" w:type="dxa"/>
            <w:noWrap w:val="0"/>
            <w:tcMar>
              <w:top w:w="150" w:type="dxa"/>
              <w:left w:w="0" w:type="dxa"/>
              <w:bottom w:w="150" w:type="dxa"/>
              <w:right w:w="240" w:type="dxa"/>
            </w:tcMar>
            <w:vAlign w:val="center"/>
          </w:tcPr>
          <w:p w14:paraId="0BAD02F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标准化</w:t>
            </w:r>
          </w:p>
        </w:tc>
        <w:tc>
          <w:tcPr>
            <w:tcW w:w="6796" w:type="dxa"/>
            <w:noWrap w:val="0"/>
            <w:tcMar>
              <w:top w:w="150" w:type="dxa"/>
              <w:left w:w="240" w:type="dxa"/>
              <w:bottom w:w="150" w:type="dxa"/>
              <w:right w:w="0" w:type="dxa"/>
            </w:tcMar>
            <w:vAlign w:val="center"/>
          </w:tcPr>
          <w:p w14:paraId="5E6ED9E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遵循国家脑防委卒中中心建设标准及《脑卒中防治数据库数据上报接口技术规范》</w:t>
            </w:r>
          </w:p>
        </w:tc>
      </w:tr>
      <w:tr w14:paraId="202C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26" w:type="dxa"/>
            <w:noWrap w:val="0"/>
            <w:tcMar>
              <w:top w:w="150" w:type="dxa"/>
              <w:left w:w="0" w:type="dxa"/>
              <w:bottom w:w="150" w:type="dxa"/>
              <w:right w:w="240" w:type="dxa"/>
            </w:tcMar>
            <w:vAlign w:val="center"/>
          </w:tcPr>
          <w:p w14:paraId="35D19B4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开放性</w:t>
            </w:r>
          </w:p>
        </w:tc>
        <w:tc>
          <w:tcPr>
            <w:tcW w:w="6796" w:type="dxa"/>
            <w:noWrap w:val="0"/>
            <w:tcMar>
              <w:top w:w="150" w:type="dxa"/>
              <w:left w:w="240" w:type="dxa"/>
              <w:bottom w:w="150" w:type="dxa"/>
              <w:right w:w="0" w:type="dxa"/>
            </w:tcMar>
            <w:vAlign w:val="center"/>
          </w:tcPr>
          <w:p w14:paraId="77012EE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采用标准接口协议，支持与医院现有信息系统及国家平台对接</w:t>
            </w:r>
          </w:p>
        </w:tc>
      </w:tr>
      <w:tr w14:paraId="7DCD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26" w:type="dxa"/>
            <w:noWrap w:val="0"/>
            <w:tcMar>
              <w:top w:w="150" w:type="dxa"/>
              <w:left w:w="0" w:type="dxa"/>
              <w:bottom w:w="150" w:type="dxa"/>
              <w:right w:w="240" w:type="dxa"/>
            </w:tcMar>
            <w:vAlign w:val="center"/>
          </w:tcPr>
          <w:p w14:paraId="5B8C00F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可扩展性</w:t>
            </w:r>
          </w:p>
        </w:tc>
        <w:tc>
          <w:tcPr>
            <w:tcW w:w="6796" w:type="dxa"/>
            <w:noWrap w:val="0"/>
            <w:tcMar>
              <w:top w:w="150" w:type="dxa"/>
              <w:left w:w="240" w:type="dxa"/>
              <w:bottom w:w="150" w:type="dxa"/>
              <w:right w:w="0" w:type="dxa"/>
            </w:tcMar>
            <w:vAlign w:val="center"/>
          </w:tcPr>
          <w:p w14:paraId="57A3061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采用模块化设计，支持后续无缝接入创伤中心、胸痛中心等系统，形成统一的急救中心平台</w:t>
            </w:r>
          </w:p>
        </w:tc>
      </w:tr>
      <w:tr w14:paraId="04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26" w:type="dxa"/>
            <w:noWrap w:val="0"/>
            <w:tcMar>
              <w:top w:w="150" w:type="dxa"/>
              <w:left w:w="0" w:type="dxa"/>
              <w:bottom w:w="150" w:type="dxa"/>
              <w:right w:w="240" w:type="dxa"/>
            </w:tcMar>
            <w:vAlign w:val="center"/>
          </w:tcPr>
          <w:p w14:paraId="6BB0651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安全性</w:t>
            </w:r>
          </w:p>
        </w:tc>
        <w:tc>
          <w:tcPr>
            <w:tcW w:w="6796" w:type="dxa"/>
            <w:noWrap w:val="0"/>
            <w:tcMar>
              <w:top w:w="150" w:type="dxa"/>
              <w:left w:w="240" w:type="dxa"/>
              <w:bottom w:w="150" w:type="dxa"/>
              <w:right w:w="0" w:type="dxa"/>
            </w:tcMar>
            <w:vAlign w:val="center"/>
          </w:tcPr>
          <w:p w14:paraId="759420D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符合国家信息安全等级保护三级要求，保障患者数据安全</w:t>
            </w:r>
          </w:p>
        </w:tc>
      </w:tr>
      <w:tr w14:paraId="5B81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26" w:type="dxa"/>
            <w:noWrap w:val="0"/>
            <w:tcMar>
              <w:top w:w="150" w:type="dxa"/>
              <w:left w:w="0" w:type="dxa"/>
              <w:bottom w:w="150" w:type="dxa"/>
              <w:right w:w="240" w:type="dxa"/>
            </w:tcMar>
            <w:vAlign w:val="center"/>
          </w:tcPr>
          <w:p w14:paraId="775DF93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易用性</w:t>
            </w:r>
          </w:p>
        </w:tc>
        <w:tc>
          <w:tcPr>
            <w:tcW w:w="6796" w:type="dxa"/>
            <w:noWrap w:val="0"/>
            <w:tcMar>
              <w:top w:w="150" w:type="dxa"/>
              <w:left w:w="240" w:type="dxa"/>
              <w:bottom w:w="150" w:type="dxa"/>
              <w:right w:w="0" w:type="dxa"/>
            </w:tcMar>
            <w:vAlign w:val="center"/>
          </w:tcPr>
          <w:p w14:paraId="5C9C367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界面简洁友好，支持PC端、移动端（手机/PDA/平板）多终端协同操作。</w:t>
            </w:r>
          </w:p>
        </w:tc>
      </w:tr>
    </w:tbl>
    <w:p w14:paraId="70864145">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5" w:name="_Toc239959362"/>
      <w:r>
        <w:rPr>
          <w:rFonts w:hint="eastAsia" w:eastAsia="宋体" w:cs="宋体"/>
          <w:b/>
          <w:bCs/>
          <w:sz w:val="24"/>
          <w:szCs w:val="24"/>
          <w:lang w:val="en-US" w:eastAsia="zh-CN"/>
        </w:rPr>
        <w:t>2.2 总体架构</w:t>
      </w:r>
      <w:bookmarkEnd w:id="5"/>
    </w:p>
    <w:p w14:paraId="2CF5F20C">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系统采用五层架构设计：</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41"/>
        <w:gridCol w:w="6781"/>
      </w:tblGrid>
      <w:tr w14:paraId="181C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741" w:type="dxa"/>
            <w:noWrap w:val="0"/>
            <w:tcMar>
              <w:top w:w="150" w:type="dxa"/>
              <w:left w:w="0" w:type="dxa"/>
              <w:bottom w:w="150" w:type="dxa"/>
              <w:right w:w="240" w:type="dxa"/>
            </w:tcMar>
            <w:vAlign w:val="center"/>
          </w:tcPr>
          <w:p w14:paraId="4BE2EB7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层级</w:t>
            </w:r>
          </w:p>
        </w:tc>
        <w:tc>
          <w:tcPr>
            <w:tcW w:w="6781" w:type="dxa"/>
            <w:noWrap w:val="0"/>
            <w:tcMar>
              <w:top w:w="150" w:type="dxa"/>
              <w:left w:w="240" w:type="dxa"/>
              <w:bottom w:w="150" w:type="dxa"/>
              <w:right w:w="240" w:type="dxa"/>
            </w:tcMar>
            <w:vAlign w:val="center"/>
          </w:tcPr>
          <w:p w14:paraId="15F089B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功能说明</w:t>
            </w:r>
          </w:p>
        </w:tc>
      </w:tr>
      <w:tr w14:paraId="7685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41" w:type="dxa"/>
            <w:noWrap w:val="0"/>
            <w:tcMar>
              <w:top w:w="150" w:type="dxa"/>
              <w:left w:w="0" w:type="dxa"/>
              <w:bottom w:w="150" w:type="dxa"/>
              <w:right w:w="240" w:type="dxa"/>
            </w:tcMar>
            <w:vAlign w:val="center"/>
          </w:tcPr>
          <w:p w14:paraId="068C1DD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接入层</w:t>
            </w:r>
          </w:p>
        </w:tc>
        <w:tc>
          <w:tcPr>
            <w:tcW w:w="6781" w:type="dxa"/>
            <w:noWrap w:val="0"/>
            <w:tcMar>
              <w:top w:w="150" w:type="dxa"/>
              <w:left w:w="240" w:type="dxa"/>
              <w:bottom w:w="150" w:type="dxa"/>
              <w:right w:w="0" w:type="dxa"/>
            </w:tcMar>
            <w:vAlign w:val="center"/>
          </w:tcPr>
          <w:p w14:paraId="0906696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通过标准接口与院前急救系统、120调度系统、院内HIS/LIS/PACS/EMR等系统对接，进行卒中相关数据采集与调阅。</w:t>
            </w:r>
          </w:p>
        </w:tc>
      </w:tr>
      <w:tr w14:paraId="65C3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41" w:type="dxa"/>
            <w:noWrap w:val="0"/>
            <w:tcMar>
              <w:top w:w="150" w:type="dxa"/>
              <w:left w:w="0" w:type="dxa"/>
              <w:bottom w:w="150" w:type="dxa"/>
              <w:right w:w="240" w:type="dxa"/>
            </w:tcMar>
            <w:vAlign w:val="center"/>
          </w:tcPr>
          <w:p w14:paraId="21B5689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交换层</w:t>
            </w:r>
          </w:p>
        </w:tc>
        <w:tc>
          <w:tcPr>
            <w:tcW w:w="6781" w:type="dxa"/>
            <w:noWrap w:val="0"/>
            <w:tcMar>
              <w:top w:w="150" w:type="dxa"/>
              <w:left w:w="240" w:type="dxa"/>
              <w:bottom w:w="150" w:type="dxa"/>
              <w:right w:w="0" w:type="dxa"/>
            </w:tcMar>
            <w:vAlign w:val="center"/>
          </w:tcPr>
          <w:p w14:paraId="4953D26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基于SOA架构的企业服务总线（ESB）实现对外接口服务的标准化和解耦，跨系统业务交互均通过ESB完成。</w:t>
            </w:r>
          </w:p>
        </w:tc>
      </w:tr>
      <w:tr w14:paraId="1FDC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41" w:type="dxa"/>
            <w:noWrap w:val="0"/>
            <w:tcMar>
              <w:top w:w="150" w:type="dxa"/>
              <w:left w:w="0" w:type="dxa"/>
              <w:bottom w:w="150" w:type="dxa"/>
              <w:right w:w="240" w:type="dxa"/>
            </w:tcMar>
            <w:vAlign w:val="center"/>
          </w:tcPr>
          <w:p w14:paraId="6B82743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数据层</w:t>
            </w:r>
          </w:p>
        </w:tc>
        <w:tc>
          <w:tcPr>
            <w:tcW w:w="6781" w:type="dxa"/>
            <w:noWrap w:val="0"/>
            <w:tcMar>
              <w:top w:w="150" w:type="dxa"/>
              <w:left w:w="240" w:type="dxa"/>
              <w:bottom w:w="150" w:type="dxa"/>
              <w:right w:w="0" w:type="dxa"/>
            </w:tcMar>
            <w:vAlign w:val="center"/>
          </w:tcPr>
          <w:p w14:paraId="127A09E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卒中数据汇聚后形成平台基础数据资产，包括患者基本信息、急救数据、临床数据（电子病历、医学影像、检验结果）等。</w:t>
            </w:r>
          </w:p>
        </w:tc>
      </w:tr>
      <w:tr w14:paraId="7F8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41" w:type="dxa"/>
            <w:noWrap w:val="0"/>
            <w:tcMar>
              <w:top w:w="150" w:type="dxa"/>
              <w:left w:w="0" w:type="dxa"/>
              <w:bottom w:w="150" w:type="dxa"/>
              <w:right w:w="240" w:type="dxa"/>
            </w:tcMar>
            <w:vAlign w:val="center"/>
          </w:tcPr>
          <w:p w14:paraId="575ECD5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服务层</w:t>
            </w:r>
          </w:p>
        </w:tc>
        <w:tc>
          <w:tcPr>
            <w:tcW w:w="6781" w:type="dxa"/>
            <w:noWrap w:val="0"/>
            <w:tcMar>
              <w:top w:w="150" w:type="dxa"/>
              <w:left w:w="240" w:type="dxa"/>
              <w:bottom w:w="150" w:type="dxa"/>
              <w:right w:w="0" w:type="dxa"/>
            </w:tcMar>
            <w:vAlign w:val="center"/>
          </w:tcPr>
          <w:p w14:paraId="0AE3667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提供统一的服务组件，包括用户认证服务、日志服务、消息服务、规则引擎、报表服务等。</w:t>
            </w:r>
          </w:p>
        </w:tc>
      </w:tr>
      <w:tr w14:paraId="0088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41" w:type="dxa"/>
            <w:noWrap w:val="0"/>
            <w:tcMar>
              <w:top w:w="150" w:type="dxa"/>
              <w:left w:w="0" w:type="dxa"/>
              <w:bottom w:w="150" w:type="dxa"/>
              <w:right w:w="240" w:type="dxa"/>
            </w:tcMar>
            <w:vAlign w:val="center"/>
          </w:tcPr>
          <w:p w14:paraId="164CE6B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应用层</w:t>
            </w:r>
          </w:p>
        </w:tc>
        <w:tc>
          <w:tcPr>
            <w:tcW w:w="6781" w:type="dxa"/>
            <w:noWrap w:val="0"/>
            <w:tcMar>
              <w:top w:w="150" w:type="dxa"/>
              <w:left w:w="240" w:type="dxa"/>
              <w:bottom w:w="150" w:type="dxa"/>
              <w:right w:w="0" w:type="dxa"/>
            </w:tcMar>
            <w:vAlign w:val="center"/>
          </w:tcPr>
          <w:p w14:paraId="207BFF5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面向不同用户角色提供功能应用，包括院前急救管理、院内绿道管理、卒中综合档案管理、数据分析与质控、数据直报、多媒体大屏展示等模块。</w:t>
            </w:r>
          </w:p>
        </w:tc>
      </w:tr>
    </w:tbl>
    <w:p w14:paraId="4AB4E88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6" w:name="_Toc239959363"/>
      <w:r>
        <w:rPr>
          <w:rFonts w:hint="eastAsia" w:eastAsia="宋体" w:cs="宋体"/>
          <w:b/>
          <w:bCs/>
          <w:sz w:val="24"/>
          <w:szCs w:val="24"/>
          <w:lang w:val="en-US" w:eastAsia="zh-CN"/>
        </w:rPr>
        <w:t>2.3 技术选型</w:t>
      </w:r>
      <w:bookmarkEnd w:id="6"/>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56"/>
        <w:gridCol w:w="3120"/>
        <w:gridCol w:w="3646"/>
      </w:tblGrid>
      <w:tr w14:paraId="730A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756" w:type="dxa"/>
            <w:noWrap w:val="0"/>
            <w:tcMar>
              <w:top w:w="150" w:type="dxa"/>
              <w:left w:w="0" w:type="dxa"/>
              <w:bottom w:w="150" w:type="dxa"/>
              <w:right w:w="240" w:type="dxa"/>
            </w:tcMar>
            <w:vAlign w:val="center"/>
          </w:tcPr>
          <w:p w14:paraId="4AB50B3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层级</w:t>
            </w:r>
          </w:p>
        </w:tc>
        <w:tc>
          <w:tcPr>
            <w:tcW w:w="3120" w:type="dxa"/>
            <w:noWrap w:val="0"/>
            <w:tcMar>
              <w:top w:w="150" w:type="dxa"/>
              <w:left w:w="240" w:type="dxa"/>
              <w:bottom w:w="150" w:type="dxa"/>
              <w:right w:w="240" w:type="dxa"/>
            </w:tcMar>
            <w:vAlign w:val="center"/>
          </w:tcPr>
          <w:p w14:paraId="2A3814A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技术选型</w:t>
            </w:r>
          </w:p>
        </w:tc>
        <w:tc>
          <w:tcPr>
            <w:tcW w:w="3646" w:type="dxa"/>
            <w:noWrap w:val="0"/>
            <w:tcMar>
              <w:top w:w="150" w:type="dxa"/>
              <w:left w:w="240" w:type="dxa"/>
              <w:bottom w:w="150" w:type="dxa"/>
              <w:right w:w="240" w:type="dxa"/>
            </w:tcMar>
            <w:vAlign w:val="center"/>
          </w:tcPr>
          <w:p w14:paraId="71FA8EB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说明</w:t>
            </w:r>
          </w:p>
        </w:tc>
      </w:tr>
      <w:tr w14:paraId="12D5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14CB5B6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前端展示</w:t>
            </w:r>
          </w:p>
        </w:tc>
        <w:tc>
          <w:tcPr>
            <w:tcW w:w="3120" w:type="dxa"/>
            <w:noWrap w:val="0"/>
            <w:tcMar>
              <w:top w:w="150" w:type="dxa"/>
              <w:left w:w="240" w:type="dxa"/>
              <w:bottom w:w="150" w:type="dxa"/>
              <w:right w:w="240" w:type="dxa"/>
            </w:tcMar>
            <w:vAlign w:val="center"/>
          </w:tcPr>
          <w:p w14:paraId="4ABAF6C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Vue.js </w:t>
            </w:r>
          </w:p>
        </w:tc>
        <w:tc>
          <w:tcPr>
            <w:tcW w:w="3646" w:type="dxa"/>
            <w:noWrap w:val="0"/>
            <w:tcMar>
              <w:top w:w="150" w:type="dxa"/>
              <w:left w:w="240" w:type="dxa"/>
              <w:bottom w:w="150" w:type="dxa"/>
              <w:right w:w="0" w:type="dxa"/>
            </w:tcMar>
            <w:vAlign w:val="center"/>
          </w:tcPr>
          <w:p w14:paraId="313D784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数据可视化大屏、Web管理端</w:t>
            </w:r>
          </w:p>
        </w:tc>
      </w:tr>
      <w:tr w14:paraId="29D3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072542F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移动端</w:t>
            </w:r>
          </w:p>
        </w:tc>
        <w:tc>
          <w:tcPr>
            <w:tcW w:w="3120" w:type="dxa"/>
            <w:noWrap w:val="0"/>
            <w:tcMar>
              <w:top w:w="150" w:type="dxa"/>
              <w:left w:w="240" w:type="dxa"/>
              <w:bottom w:w="150" w:type="dxa"/>
              <w:right w:w="240" w:type="dxa"/>
            </w:tcMar>
            <w:vAlign w:val="center"/>
          </w:tcPr>
          <w:p w14:paraId="28ACBDB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安卓</w:t>
            </w:r>
          </w:p>
        </w:tc>
        <w:tc>
          <w:tcPr>
            <w:tcW w:w="3646" w:type="dxa"/>
            <w:noWrap w:val="0"/>
            <w:tcMar>
              <w:top w:w="150" w:type="dxa"/>
              <w:left w:w="240" w:type="dxa"/>
              <w:bottom w:w="150" w:type="dxa"/>
              <w:right w:w="0" w:type="dxa"/>
            </w:tcMar>
            <w:vAlign w:val="center"/>
          </w:tcPr>
          <w:p w14:paraId="36FE133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APP运行效率优化，支持离线缓存</w:t>
            </w:r>
          </w:p>
        </w:tc>
      </w:tr>
      <w:tr w14:paraId="18BC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443B04C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后端框架</w:t>
            </w:r>
          </w:p>
        </w:tc>
        <w:tc>
          <w:tcPr>
            <w:tcW w:w="3120" w:type="dxa"/>
            <w:noWrap w:val="0"/>
            <w:tcMar>
              <w:top w:w="150" w:type="dxa"/>
              <w:left w:w="240" w:type="dxa"/>
              <w:bottom w:w="150" w:type="dxa"/>
              <w:right w:w="240" w:type="dxa"/>
            </w:tcMar>
            <w:vAlign w:val="center"/>
          </w:tcPr>
          <w:p w14:paraId="2F81AB9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Spring Boot 微服务架构</w:t>
            </w:r>
          </w:p>
        </w:tc>
        <w:tc>
          <w:tcPr>
            <w:tcW w:w="3646" w:type="dxa"/>
            <w:noWrap w:val="0"/>
            <w:tcMar>
              <w:top w:w="150" w:type="dxa"/>
              <w:left w:w="240" w:type="dxa"/>
              <w:bottom w:w="150" w:type="dxa"/>
              <w:right w:w="0" w:type="dxa"/>
            </w:tcMar>
            <w:vAlign w:val="center"/>
          </w:tcPr>
          <w:p w14:paraId="2DBB5B9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高可用、易扩展</w:t>
            </w:r>
          </w:p>
        </w:tc>
      </w:tr>
      <w:tr w14:paraId="11C9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180992F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数据存储</w:t>
            </w:r>
          </w:p>
        </w:tc>
        <w:tc>
          <w:tcPr>
            <w:tcW w:w="3120" w:type="dxa"/>
            <w:noWrap w:val="0"/>
            <w:tcMar>
              <w:top w:w="150" w:type="dxa"/>
              <w:left w:w="240" w:type="dxa"/>
              <w:bottom w:w="150" w:type="dxa"/>
              <w:right w:w="240" w:type="dxa"/>
            </w:tcMar>
            <w:vAlign w:val="center"/>
          </w:tcPr>
          <w:p w14:paraId="6C923D3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highlight w:val="yellow"/>
              </w:rPr>
            </w:pPr>
            <w:r>
              <w:rPr>
                <w:rFonts w:hint="eastAsia" w:ascii="宋体" w:hAnsi="宋体" w:eastAsia="宋体" w:cs="宋体"/>
                <w:sz w:val="24"/>
                <w:szCs w:val="24"/>
              </w:rPr>
              <w:t>Mysql+ Redis缓存</w:t>
            </w:r>
          </w:p>
        </w:tc>
        <w:tc>
          <w:tcPr>
            <w:tcW w:w="3646" w:type="dxa"/>
            <w:noWrap w:val="0"/>
            <w:tcMar>
              <w:top w:w="150" w:type="dxa"/>
              <w:left w:w="240" w:type="dxa"/>
              <w:bottom w:w="150" w:type="dxa"/>
              <w:right w:w="0" w:type="dxa"/>
            </w:tcMar>
            <w:vAlign w:val="center"/>
          </w:tcPr>
          <w:p w14:paraId="6D99629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保障数据一致性与访问速度</w:t>
            </w:r>
          </w:p>
        </w:tc>
      </w:tr>
      <w:tr w14:paraId="7ABD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0F38924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接口协议</w:t>
            </w:r>
          </w:p>
        </w:tc>
        <w:tc>
          <w:tcPr>
            <w:tcW w:w="3120" w:type="dxa"/>
            <w:noWrap w:val="0"/>
            <w:tcMar>
              <w:top w:w="150" w:type="dxa"/>
              <w:left w:w="240" w:type="dxa"/>
              <w:bottom w:w="150" w:type="dxa"/>
              <w:right w:w="240" w:type="dxa"/>
            </w:tcMar>
            <w:vAlign w:val="center"/>
          </w:tcPr>
          <w:p w14:paraId="06CF683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RESTful API / Web Service</w:t>
            </w:r>
          </w:p>
        </w:tc>
        <w:tc>
          <w:tcPr>
            <w:tcW w:w="3646" w:type="dxa"/>
            <w:noWrap w:val="0"/>
            <w:tcMar>
              <w:top w:w="150" w:type="dxa"/>
              <w:left w:w="240" w:type="dxa"/>
              <w:bottom w:w="150" w:type="dxa"/>
              <w:right w:w="0" w:type="dxa"/>
            </w:tcMar>
            <w:vAlign w:val="center"/>
          </w:tcPr>
          <w:p w14:paraId="2697152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支持JSON/XML格式数据交换</w:t>
            </w:r>
          </w:p>
        </w:tc>
      </w:tr>
      <w:tr w14:paraId="7957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3F90AC5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消息中间件</w:t>
            </w:r>
          </w:p>
        </w:tc>
        <w:tc>
          <w:tcPr>
            <w:tcW w:w="3120" w:type="dxa"/>
            <w:noWrap w:val="0"/>
            <w:tcMar>
              <w:top w:w="150" w:type="dxa"/>
              <w:left w:w="240" w:type="dxa"/>
              <w:bottom w:w="150" w:type="dxa"/>
              <w:right w:w="240" w:type="dxa"/>
            </w:tcMar>
            <w:vAlign w:val="center"/>
          </w:tcPr>
          <w:p w14:paraId="0F824DE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RabbitMQ</w:t>
            </w:r>
          </w:p>
        </w:tc>
        <w:tc>
          <w:tcPr>
            <w:tcW w:w="3646" w:type="dxa"/>
            <w:noWrap w:val="0"/>
            <w:tcMar>
              <w:top w:w="150" w:type="dxa"/>
              <w:left w:w="240" w:type="dxa"/>
              <w:bottom w:w="150" w:type="dxa"/>
              <w:right w:w="0" w:type="dxa"/>
            </w:tcMar>
            <w:vAlign w:val="center"/>
          </w:tcPr>
          <w:p w14:paraId="1AAD3A8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异步消息处理，保障系统解耦</w:t>
            </w:r>
          </w:p>
        </w:tc>
      </w:tr>
      <w:tr w14:paraId="5CB7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1684F11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容器化部署</w:t>
            </w:r>
          </w:p>
        </w:tc>
        <w:tc>
          <w:tcPr>
            <w:tcW w:w="3120" w:type="dxa"/>
            <w:noWrap w:val="0"/>
            <w:tcMar>
              <w:top w:w="150" w:type="dxa"/>
              <w:left w:w="240" w:type="dxa"/>
              <w:bottom w:w="150" w:type="dxa"/>
              <w:right w:w="240" w:type="dxa"/>
            </w:tcMar>
            <w:vAlign w:val="center"/>
          </w:tcPr>
          <w:p w14:paraId="155DEFB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Docker + Kubernetes</w:t>
            </w:r>
          </w:p>
        </w:tc>
        <w:tc>
          <w:tcPr>
            <w:tcW w:w="3646" w:type="dxa"/>
            <w:noWrap w:val="0"/>
            <w:tcMar>
              <w:top w:w="150" w:type="dxa"/>
              <w:left w:w="240" w:type="dxa"/>
              <w:bottom w:w="150" w:type="dxa"/>
              <w:right w:w="0" w:type="dxa"/>
            </w:tcMar>
            <w:vAlign w:val="center"/>
          </w:tcPr>
          <w:p w14:paraId="47BB7E0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支持弹性伸缩与快速部署</w:t>
            </w:r>
          </w:p>
        </w:tc>
      </w:tr>
      <w:tr w14:paraId="6A08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756" w:type="dxa"/>
            <w:noWrap w:val="0"/>
            <w:tcMar>
              <w:top w:w="150" w:type="dxa"/>
              <w:left w:w="0" w:type="dxa"/>
              <w:bottom w:w="150" w:type="dxa"/>
              <w:right w:w="240" w:type="dxa"/>
            </w:tcMar>
            <w:vAlign w:val="center"/>
          </w:tcPr>
          <w:p w14:paraId="4B63F96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操作系统</w:t>
            </w:r>
          </w:p>
        </w:tc>
        <w:tc>
          <w:tcPr>
            <w:tcW w:w="3120" w:type="dxa"/>
            <w:noWrap w:val="0"/>
            <w:tcMar>
              <w:top w:w="150" w:type="dxa"/>
              <w:left w:w="240" w:type="dxa"/>
              <w:bottom w:w="150" w:type="dxa"/>
              <w:right w:w="240" w:type="dxa"/>
            </w:tcMar>
            <w:vAlign w:val="center"/>
          </w:tcPr>
          <w:p w14:paraId="01F5BA8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Linux（CentOS/Ubuntu）</w:t>
            </w:r>
          </w:p>
        </w:tc>
        <w:tc>
          <w:tcPr>
            <w:tcW w:w="3646" w:type="dxa"/>
            <w:noWrap w:val="0"/>
            <w:tcMar>
              <w:top w:w="150" w:type="dxa"/>
              <w:left w:w="240" w:type="dxa"/>
              <w:bottom w:w="150" w:type="dxa"/>
              <w:right w:w="0" w:type="dxa"/>
            </w:tcMar>
            <w:vAlign w:val="center"/>
          </w:tcPr>
          <w:p w14:paraId="76D6BC3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稳定、安全、跨平台</w:t>
            </w:r>
          </w:p>
        </w:tc>
      </w:tr>
    </w:tbl>
    <w:p w14:paraId="38BB410A">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7" w:name="_Toc239959376"/>
      <w:r>
        <w:rPr>
          <w:rFonts w:hint="eastAsia" w:eastAsia="宋体" w:cs="宋体"/>
          <w:b/>
          <w:bCs/>
          <w:sz w:val="24"/>
          <w:szCs w:val="24"/>
          <w:lang w:val="en-US" w:eastAsia="zh-CN"/>
        </w:rPr>
        <w:t>3、系统对接方案</w:t>
      </w:r>
      <w:bookmarkEnd w:id="7"/>
    </w:p>
    <w:p w14:paraId="3AD804B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8" w:name="_Toc239959377"/>
      <w:r>
        <w:rPr>
          <w:rFonts w:hint="eastAsia" w:eastAsia="宋体" w:cs="宋体"/>
          <w:b/>
          <w:bCs/>
          <w:sz w:val="24"/>
          <w:szCs w:val="24"/>
          <w:lang w:val="en-US" w:eastAsia="zh-CN"/>
        </w:rPr>
        <w:t>3.1 接口方案</w:t>
      </w:r>
      <w:bookmarkEnd w:id="8"/>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03"/>
        <w:gridCol w:w="6619"/>
      </w:tblGrid>
      <w:tr w14:paraId="4FEA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903" w:type="dxa"/>
            <w:noWrap w:val="0"/>
            <w:tcMar>
              <w:top w:w="150" w:type="dxa"/>
              <w:left w:w="0" w:type="dxa"/>
              <w:bottom w:w="150" w:type="dxa"/>
              <w:right w:w="240" w:type="dxa"/>
            </w:tcMar>
            <w:vAlign w:val="center"/>
          </w:tcPr>
          <w:p w14:paraId="01DA6CC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对接系统</w:t>
            </w:r>
          </w:p>
        </w:tc>
        <w:tc>
          <w:tcPr>
            <w:tcW w:w="6619" w:type="dxa"/>
            <w:noWrap w:val="0"/>
            <w:tcMar>
              <w:top w:w="150" w:type="dxa"/>
              <w:left w:w="240" w:type="dxa"/>
              <w:bottom w:w="150" w:type="dxa"/>
              <w:right w:w="240" w:type="dxa"/>
            </w:tcMar>
            <w:vAlign w:val="center"/>
          </w:tcPr>
          <w:p w14:paraId="7B29DD9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说明</w:t>
            </w:r>
          </w:p>
        </w:tc>
      </w:tr>
      <w:tr w14:paraId="439E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69C2451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集成平台</w:t>
            </w:r>
          </w:p>
        </w:tc>
        <w:tc>
          <w:tcPr>
            <w:tcW w:w="6619" w:type="dxa"/>
            <w:noWrap w:val="0"/>
            <w:tcMar>
              <w:top w:w="150" w:type="dxa"/>
              <w:left w:w="240" w:type="dxa"/>
              <w:bottom w:w="150" w:type="dxa"/>
              <w:right w:w="0" w:type="dxa"/>
            </w:tcMar>
            <w:vAlign w:val="center"/>
          </w:tcPr>
          <w:p w14:paraId="01575A22">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与医院集成平台对接，实现数据互通</w:t>
            </w:r>
          </w:p>
        </w:tc>
      </w:tr>
      <w:tr w14:paraId="7C91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2CC9790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HIS系统</w:t>
            </w:r>
          </w:p>
        </w:tc>
        <w:tc>
          <w:tcPr>
            <w:tcW w:w="6619" w:type="dxa"/>
            <w:noWrap w:val="0"/>
            <w:tcMar>
              <w:top w:w="150" w:type="dxa"/>
              <w:left w:w="240" w:type="dxa"/>
              <w:bottom w:w="150" w:type="dxa"/>
              <w:right w:w="0" w:type="dxa"/>
            </w:tcMar>
            <w:vAlign w:val="center"/>
          </w:tcPr>
          <w:p w14:paraId="74E582E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获取患者基本信息、就诊信息、费用信息、医嘱信息、转归去向等</w:t>
            </w:r>
          </w:p>
        </w:tc>
      </w:tr>
      <w:tr w14:paraId="5AB7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607D0F6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LIS系统</w:t>
            </w:r>
          </w:p>
        </w:tc>
        <w:tc>
          <w:tcPr>
            <w:tcW w:w="6619" w:type="dxa"/>
            <w:noWrap w:val="0"/>
            <w:tcMar>
              <w:top w:w="150" w:type="dxa"/>
              <w:left w:w="240" w:type="dxa"/>
              <w:bottom w:w="150" w:type="dxa"/>
              <w:right w:w="0" w:type="dxa"/>
            </w:tcMar>
            <w:vAlign w:val="center"/>
          </w:tcPr>
          <w:p w14:paraId="1E3EDD2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集成检验数据和报告时间</w:t>
            </w:r>
          </w:p>
        </w:tc>
      </w:tr>
      <w:tr w14:paraId="165D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25C9FA6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PACS系统</w:t>
            </w:r>
          </w:p>
        </w:tc>
        <w:tc>
          <w:tcPr>
            <w:tcW w:w="6619" w:type="dxa"/>
            <w:noWrap w:val="0"/>
            <w:tcMar>
              <w:top w:w="150" w:type="dxa"/>
              <w:left w:w="240" w:type="dxa"/>
              <w:bottom w:w="150" w:type="dxa"/>
              <w:right w:w="0" w:type="dxa"/>
            </w:tcMar>
            <w:vAlign w:val="center"/>
          </w:tcPr>
          <w:p w14:paraId="2FDDE54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获取影像检查报告结果时间</w:t>
            </w:r>
          </w:p>
        </w:tc>
      </w:tr>
      <w:tr w14:paraId="1341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0784B8C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EMR/电子病历</w:t>
            </w:r>
          </w:p>
        </w:tc>
        <w:tc>
          <w:tcPr>
            <w:tcW w:w="6619" w:type="dxa"/>
            <w:noWrap w:val="0"/>
            <w:tcMar>
              <w:top w:w="150" w:type="dxa"/>
              <w:left w:w="240" w:type="dxa"/>
              <w:bottom w:w="150" w:type="dxa"/>
              <w:right w:w="0" w:type="dxa"/>
            </w:tcMar>
            <w:vAlign w:val="center"/>
          </w:tcPr>
          <w:p w14:paraId="0D08B8D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作为结构化数据嵌入电子病历，完善病历数据</w:t>
            </w:r>
          </w:p>
        </w:tc>
      </w:tr>
      <w:tr w14:paraId="4F94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3950F50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心电系统</w:t>
            </w:r>
          </w:p>
        </w:tc>
        <w:tc>
          <w:tcPr>
            <w:tcW w:w="6619" w:type="dxa"/>
            <w:noWrap w:val="0"/>
            <w:tcMar>
              <w:top w:w="150" w:type="dxa"/>
              <w:left w:w="240" w:type="dxa"/>
              <w:bottom w:w="150" w:type="dxa"/>
              <w:right w:w="0" w:type="dxa"/>
            </w:tcMar>
            <w:vAlign w:val="center"/>
          </w:tcPr>
          <w:p w14:paraId="60F9BDB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获取心电图报告及完成时间</w:t>
            </w:r>
          </w:p>
        </w:tc>
      </w:tr>
      <w:tr w14:paraId="6070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42ABC33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手麻系统</w:t>
            </w:r>
          </w:p>
        </w:tc>
        <w:tc>
          <w:tcPr>
            <w:tcW w:w="6619" w:type="dxa"/>
            <w:noWrap w:val="0"/>
            <w:tcMar>
              <w:top w:w="150" w:type="dxa"/>
              <w:left w:w="240" w:type="dxa"/>
              <w:bottom w:w="150" w:type="dxa"/>
              <w:right w:w="0" w:type="dxa"/>
            </w:tcMar>
            <w:vAlign w:val="center"/>
          </w:tcPr>
          <w:p w14:paraId="4D1B0C2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集成患者手术信息</w:t>
            </w:r>
          </w:p>
        </w:tc>
      </w:tr>
      <w:tr w14:paraId="7EF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610F424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急诊系统</w:t>
            </w:r>
          </w:p>
        </w:tc>
        <w:tc>
          <w:tcPr>
            <w:tcW w:w="6619" w:type="dxa"/>
            <w:noWrap w:val="0"/>
            <w:tcMar>
              <w:top w:w="150" w:type="dxa"/>
              <w:left w:w="240" w:type="dxa"/>
              <w:bottom w:w="150" w:type="dxa"/>
              <w:right w:w="0" w:type="dxa"/>
            </w:tcMar>
            <w:vAlign w:val="center"/>
          </w:tcPr>
          <w:p w14:paraId="3512798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集成急诊分诊、抢救、留观数据</w:t>
            </w:r>
          </w:p>
        </w:tc>
      </w:tr>
      <w:tr w14:paraId="0656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75B0E7B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120院前系统</w:t>
            </w:r>
          </w:p>
        </w:tc>
        <w:tc>
          <w:tcPr>
            <w:tcW w:w="6619" w:type="dxa"/>
            <w:noWrap w:val="0"/>
            <w:tcMar>
              <w:top w:w="150" w:type="dxa"/>
              <w:left w:w="240" w:type="dxa"/>
              <w:bottom w:w="150" w:type="dxa"/>
              <w:right w:w="0" w:type="dxa"/>
            </w:tcMar>
            <w:vAlign w:val="center"/>
          </w:tcPr>
          <w:p w14:paraId="751FF9B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获取院前急救相关信息</w:t>
            </w:r>
          </w:p>
        </w:tc>
      </w:tr>
      <w:tr w14:paraId="043A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03" w:type="dxa"/>
            <w:noWrap w:val="0"/>
            <w:tcMar>
              <w:top w:w="150" w:type="dxa"/>
              <w:left w:w="0" w:type="dxa"/>
              <w:bottom w:w="150" w:type="dxa"/>
              <w:right w:w="240" w:type="dxa"/>
            </w:tcMar>
            <w:vAlign w:val="center"/>
          </w:tcPr>
          <w:p w14:paraId="1EE29B2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国家卒中平台</w:t>
            </w:r>
          </w:p>
        </w:tc>
        <w:tc>
          <w:tcPr>
            <w:tcW w:w="6619" w:type="dxa"/>
            <w:noWrap w:val="0"/>
            <w:tcMar>
              <w:top w:w="150" w:type="dxa"/>
              <w:left w:w="240" w:type="dxa"/>
              <w:bottom w:w="150" w:type="dxa"/>
              <w:right w:w="0" w:type="dxa"/>
            </w:tcMar>
            <w:vAlign w:val="center"/>
          </w:tcPr>
          <w:p w14:paraId="28AB7E7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实现卒中数据自动上报至国家脑防委卒中中心数据填报平台</w:t>
            </w:r>
          </w:p>
        </w:tc>
      </w:tr>
    </w:tbl>
    <w:p w14:paraId="04841B9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9" w:name="_Toc239959378"/>
      <w:r>
        <w:rPr>
          <w:rFonts w:hint="eastAsia" w:eastAsia="宋体" w:cs="宋体"/>
          <w:b/>
          <w:bCs/>
          <w:sz w:val="24"/>
          <w:szCs w:val="24"/>
          <w:lang w:val="en-US" w:eastAsia="zh-CN"/>
        </w:rPr>
        <w:t>3.2 时间点采集方案</w:t>
      </w:r>
      <w:bookmarkEnd w:id="9"/>
    </w:p>
    <w:p w14:paraId="30860CE2">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r>
        <w:rPr>
          <w:rFonts w:hint="eastAsia" w:eastAsia="宋体" w:cs="宋体"/>
          <w:b/>
          <w:bCs/>
          <w:sz w:val="24"/>
          <w:szCs w:val="24"/>
          <w:lang w:val="en-US" w:eastAsia="zh-CN"/>
        </w:rPr>
        <w:t>3.2.1 时间点无感采集方案</w:t>
      </w:r>
    </w:p>
    <w:p w14:paraId="470B703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3.2.1.1.基于BLE（低功耗蓝牙）定位技术的患者时间节点自动采集系统，在急诊科、影像科、导管室、ICU、手术室等科室部署定位基站，通过信标标识患者，自动采集患者就医全程时间轨迹</w:t>
      </w:r>
    </w:p>
    <w:p w14:paraId="1E881786">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3.2.1.2.支持为患者佩戴电子标签（可穿戴设备），通过时间采集器自动采集患者到达关键地点的准确时间，并自动将数据同步到时间质控病历中</w:t>
      </w:r>
    </w:p>
    <w:p w14:paraId="443F5863">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3.2.1.3.绿道管理平台可以展示各个设备列表、设备配置、统计分析、其他配置、设备使用状态显示等</w:t>
      </w:r>
    </w:p>
    <w:p w14:paraId="228EFAA7">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3.2.1.4.内置时间节点的算法，确保时间节点采集的准确性</w:t>
      </w:r>
    </w:p>
    <w:p w14:paraId="71A9E011">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b w:val="0"/>
          <w:bCs w:val="0"/>
          <w:sz w:val="24"/>
          <w:szCs w:val="24"/>
          <w:lang w:val="en-US" w:eastAsia="zh-CN"/>
        </w:rPr>
        <w:t>3.2.1.5.手动与自动</w:t>
      </w:r>
      <w:r>
        <w:rPr>
          <w:rFonts w:hint="eastAsia" w:eastAsia="宋体" w:cs="宋体"/>
          <w:sz w:val="24"/>
          <w:szCs w:val="24"/>
          <w:lang w:val="en-US" w:eastAsia="zh-CN"/>
        </w:rPr>
        <w:t>记录结合：系统允许用户通过手动点击界面上的特定按钮来标记关键时间节点，同时针对特殊点位支持智能采集设备的方式进行快速、准确的点位记录</w:t>
      </w:r>
    </w:p>
    <w:p w14:paraId="1BBEDBB0">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b w:val="0"/>
          <w:bCs w:val="0"/>
          <w:sz w:val="24"/>
          <w:szCs w:val="24"/>
          <w:lang w:val="en-US" w:eastAsia="zh-CN"/>
        </w:rPr>
        <w:t>3.2.1.</w:t>
      </w:r>
      <w:r>
        <w:rPr>
          <w:rFonts w:hint="eastAsia" w:eastAsia="宋体" w:cs="宋体"/>
          <w:sz w:val="24"/>
          <w:szCs w:val="24"/>
          <w:lang w:val="en-US" w:eastAsia="zh-CN"/>
        </w:rPr>
        <w:t>6.自动数据对接与获取：系统具备与院内各信息系统的数据对接能力，实现时间点的自动抓取与记录</w:t>
      </w:r>
    </w:p>
    <w:p w14:paraId="32CA9137">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b w:val="0"/>
          <w:bCs w:val="0"/>
          <w:sz w:val="24"/>
          <w:szCs w:val="24"/>
          <w:lang w:val="en-US" w:eastAsia="zh-CN"/>
        </w:rPr>
        <w:t>3.2.1.</w:t>
      </w:r>
      <w:r>
        <w:rPr>
          <w:rFonts w:hint="eastAsia" w:eastAsia="宋体" w:cs="宋体"/>
          <w:sz w:val="24"/>
          <w:szCs w:val="24"/>
          <w:lang w:val="en-US" w:eastAsia="zh-CN"/>
        </w:rPr>
        <w:t>7时间节点与指标关联：系统将每个关键时间节点与相应的治疗、检查或护理指标进行关联</w:t>
      </w:r>
    </w:p>
    <w:p w14:paraId="48C8049D">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r>
        <w:rPr>
          <w:rFonts w:hint="eastAsia" w:eastAsia="宋体" w:cs="宋体"/>
          <w:b/>
          <w:bCs/>
          <w:sz w:val="24"/>
          <w:szCs w:val="24"/>
          <w:lang w:val="en-US" w:eastAsia="zh-CN"/>
        </w:rPr>
        <w:t>3.2.2 卒中中心时间点采集数据项</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20"/>
        <w:gridCol w:w="4250"/>
        <w:gridCol w:w="2352"/>
      </w:tblGrid>
      <w:tr w14:paraId="04EE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920" w:type="dxa"/>
            <w:noWrap w:val="0"/>
            <w:tcMar>
              <w:top w:w="150" w:type="dxa"/>
              <w:left w:w="0" w:type="dxa"/>
              <w:bottom w:w="150" w:type="dxa"/>
              <w:right w:w="240" w:type="dxa"/>
            </w:tcMar>
            <w:vAlign w:val="center"/>
          </w:tcPr>
          <w:p w14:paraId="716CDB6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阶段</w:t>
            </w:r>
          </w:p>
        </w:tc>
        <w:tc>
          <w:tcPr>
            <w:tcW w:w="4250" w:type="dxa"/>
            <w:noWrap w:val="0"/>
            <w:tcMar>
              <w:top w:w="150" w:type="dxa"/>
              <w:left w:w="240" w:type="dxa"/>
              <w:bottom w:w="150" w:type="dxa"/>
              <w:right w:w="240" w:type="dxa"/>
            </w:tcMar>
            <w:vAlign w:val="center"/>
          </w:tcPr>
          <w:p w14:paraId="472FE3D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时间点</w:t>
            </w:r>
          </w:p>
        </w:tc>
        <w:tc>
          <w:tcPr>
            <w:tcW w:w="2352" w:type="dxa"/>
            <w:noWrap w:val="0"/>
            <w:tcMar>
              <w:top w:w="150" w:type="dxa"/>
              <w:left w:w="240" w:type="dxa"/>
              <w:bottom w:w="150" w:type="dxa"/>
              <w:right w:w="240" w:type="dxa"/>
            </w:tcMar>
            <w:vAlign w:val="center"/>
          </w:tcPr>
          <w:p w14:paraId="3091201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采集方式</w:t>
            </w:r>
          </w:p>
        </w:tc>
      </w:tr>
      <w:tr w14:paraId="59FB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068A83D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院前</w:t>
            </w:r>
          </w:p>
        </w:tc>
        <w:tc>
          <w:tcPr>
            <w:tcW w:w="4250" w:type="dxa"/>
            <w:noWrap w:val="0"/>
            <w:tcMar>
              <w:top w:w="150" w:type="dxa"/>
              <w:left w:w="240" w:type="dxa"/>
              <w:bottom w:w="150" w:type="dxa"/>
              <w:right w:w="240" w:type="dxa"/>
            </w:tcMar>
            <w:vAlign w:val="center"/>
          </w:tcPr>
          <w:p w14:paraId="3FBB255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最后正常时间、发现时间、到达现场时间、离开现场时间</w:t>
            </w:r>
          </w:p>
        </w:tc>
        <w:tc>
          <w:tcPr>
            <w:tcW w:w="2352" w:type="dxa"/>
            <w:noWrap w:val="0"/>
            <w:tcMar>
              <w:top w:w="150" w:type="dxa"/>
              <w:left w:w="240" w:type="dxa"/>
              <w:bottom w:w="150" w:type="dxa"/>
              <w:right w:w="0" w:type="dxa"/>
            </w:tcMar>
            <w:vAlign w:val="center"/>
          </w:tcPr>
          <w:p w14:paraId="638FA37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r w14:paraId="34EA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06108F8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49FA108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送达医院时间</w:t>
            </w:r>
          </w:p>
        </w:tc>
        <w:tc>
          <w:tcPr>
            <w:tcW w:w="2352" w:type="dxa"/>
            <w:noWrap w:val="0"/>
            <w:tcMar>
              <w:top w:w="150" w:type="dxa"/>
              <w:left w:w="240" w:type="dxa"/>
              <w:bottom w:w="150" w:type="dxa"/>
              <w:right w:w="0" w:type="dxa"/>
            </w:tcMar>
            <w:vAlign w:val="center"/>
          </w:tcPr>
          <w:p w14:paraId="3E61B9A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自动获取（基站）</w:t>
            </w:r>
          </w:p>
        </w:tc>
      </w:tr>
      <w:tr w14:paraId="3D08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4A8A6A3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41B43F0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就诊时间</w:t>
            </w:r>
          </w:p>
        </w:tc>
        <w:tc>
          <w:tcPr>
            <w:tcW w:w="2352" w:type="dxa"/>
            <w:noWrap w:val="0"/>
            <w:tcMar>
              <w:top w:w="150" w:type="dxa"/>
              <w:left w:w="240" w:type="dxa"/>
              <w:bottom w:w="150" w:type="dxa"/>
              <w:right w:w="0" w:type="dxa"/>
            </w:tcMar>
            <w:vAlign w:val="center"/>
          </w:tcPr>
          <w:p w14:paraId="0A20EFB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r w14:paraId="1594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1A721A6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4ACEBA1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卒中团队接诊时间</w:t>
            </w:r>
          </w:p>
        </w:tc>
        <w:tc>
          <w:tcPr>
            <w:tcW w:w="2352" w:type="dxa"/>
            <w:noWrap w:val="0"/>
            <w:tcMar>
              <w:top w:w="150" w:type="dxa"/>
              <w:left w:w="240" w:type="dxa"/>
              <w:bottom w:w="150" w:type="dxa"/>
              <w:right w:w="0" w:type="dxa"/>
            </w:tcMar>
            <w:vAlign w:val="center"/>
          </w:tcPr>
          <w:p w14:paraId="78DDFB3F">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r w14:paraId="5755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75A8106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7FBDE7D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采血时间</w:t>
            </w:r>
          </w:p>
        </w:tc>
        <w:tc>
          <w:tcPr>
            <w:tcW w:w="2352" w:type="dxa"/>
            <w:noWrap w:val="0"/>
            <w:tcMar>
              <w:top w:w="150" w:type="dxa"/>
              <w:left w:w="240" w:type="dxa"/>
              <w:bottom w:w="150" w:type="dxa"/>
              <w:right w:w="0" w:type="dxa"/>
            </w:tcMar>
            <w:vAlign w:val="center"/>
          </w:tcPr>
          <w:p w14:paraId="09CC9F09">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APP手动点选/集成平台</w:t>
            </w:r>
          </w:p>
        </w:tc>
      </w:tr>
      <w:tr w14:paraId="52BD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495FCA4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102DA7C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离开急诊时间</w:t>
            </w:r>
          </w:p>
        </w:tc>
        <w:tc>
          <w:tcPr>
            <w:tcW w:w="2352" w:type="dxa"/>
            <w:noWrap w:val="0"/>
            <w:tcMar>
              <w:top w:w="150" w:type="dxa"/>
              <w:left w:w="240" w:type="dxa"/>
              <w:bottom w:w="150" w:type="dxa"/>
              <w:right w:w="0" w:type="dxa"/>
            </w:tcMar>
            <w:vAlign w:val="center"/>
          </w:tcPr>
          <w:p w14:paraId="7D8DA52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r w14:paraId="349A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1C4861B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582E2DD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到达/离开影像中心时间</w:t>
            </w:r>
          </w:p>
        </w:tc>
        <w:tc>
          <w:tcPr>
            <w:tcW w:w="2352" w:type="dxa"/>
            <w:noWrap w:val="0"/>
            <w:tcMar>
              <w:top w:w="150" w:type="dxa"/>
              <w:left w:w="240" w:type="dxa"/>
              <w:bottom w:w="150" w:type="dxa"/>
              <w:right w:w="0" w:type="dxa"/>
            </w:tcMar>
            <w:vAlign w:val="center"/>
          </w:tcPr>
          <w:p w14:paraId="06E7F35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自动获取（基站）</w:t>
            </w:r>
          </w:p>
        </w:tc>
      </w:tr>
      <w:tr w14:paraId="66DE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602A659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5B63B75B">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CT/CTA/多模影像完成时间</w:t>
            </w:r>
          </w:p>
        </w:tc>
        <w:tc>
          <w:tcPr>
            <w:tcW w:w="2352" w:type="dxa"/>
            <w:noWrap w:val="0"/>
            <w:tcMar>
              <w:top w:w="150" w:type="dxa"/>
              <w:left w:w="240" w:type="dxa"/>
              <w:bottom w:w="150" w:type="dxa"/>
              <w:right w:w="0" w:type="dxa"/>
            </w:tcMar>
            <w:vAlign w:val="center"/>
          </w:tcPr>
          <w:p w14:paraId="7E83D396">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APP手动点选/集成平台</w:t>
            </w:r>
          </w:p>
        </w:tc>
      </w:tr>
      <w:tr w14:paraId="4F2C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5C83B441">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79C3C2D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血常规/生化/肾功/肝功能报告时间</w:t>
            </w:r>
          </w:p>
        </w:tc>
        <w:tc>
          <w:tcPr>
            <w:tcW w:w="2352" w:type="dxa"/>
            <w:noWrap w:val="0"/>
            <w:tcMar>
              <w:top w:w="150" w:type="dxa"/>
              <w:left w:w="240" w:type="dxa"/>
              <w:bottom w:w="150" w:type="dxa"/>
              <w:right w:w="0" w:type="dxa"/>
            </w:tcMar>
            <w:vAlign w:val="center"/>
          </w:tcPr>
          <w:p w14:paraId="3CAB6FE0">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APP手动点选/集成平台</w:t>
            </w:r>
          </w:p>
        </w:tc>
      </w:tr>
      <w:tr w14:paraId="7DF3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310697C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2C1D318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开始/签署知情时间</w:t>
            </w:r>
          </w:p>
        </w:tc>
        <w:tc>
          <w:tcPr>
            <w:tcW w:w="2352" w:type="dxa"/>
            <w:noWrap w:val="0"/>
            <w:tcMar>
              <w:top w:w="150" w:type="dxa"/>
              <w:left w:w="240" w:type="dxa"/>
              <w:bottom w:w="150" w:type="dxa"/>
              <w:right w:w="0" w:type="dxa"/>
            </w:tcMar>
            <w:vAlign w:val="center"/>
          </w:tcPr>
          <w:p w14:paraId="08D24753">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r w14:paraId="15D4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24FD90E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76DF39A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溶栓开始时间</w:t>
            </w:r>
          </w:p>
        </w:tc>
        <w:tc>
          <w:tcPr>
            <w:tcW w:w="2352" w:type="dxa"/>
            <w:noWrap w:val="0"/>
            <w:tcMar>
              <w:top w:w="150" w:type="dxa"/>
              <w:left w:w="240" w:type="dxa"/>
              <w:bottom w:w="150" w:type="dxa"/>
              <w:right w:w="0" w:type="dxa"/>
            </w:tcMar>
            <w:vAlign w:val="center"/>
          </w:tcPr>
          <w:p w14:paraId="082CBE08">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APP手动点选/集成平台</w:t>
            </w:r>
          </w:p>
        </w:tc>
      </w:tr>
      <w:tr w14:paraId="1757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5B402065">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703D580C">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到达介入手术室大门时间</w:t>
            </w:r>
          </w:p>
        </w:tc>
        <w:tc>
          <w:tcPr>
            <w:tcW w:w="2352" w:type="dxa"/>
            <w:noWrap w:val="0"/>
            <w:tcMar>
              <w:top w:w="150" w:type="dxa"/>
              <w:left w:w="240" w:type="dxa"/>
              <w:bottom w:w="150" w:type="dxa"/>
              <w:right w:w="0" w:type="dxa"/>
            </w:tcMar>
            <w:vAlign w:val="center"/>
          </w:tcPr>
          <w:p w14:paraId="06FBA91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胸卡自动获取</w:t>
            </w:r>
          </w:p>
        </w:tc>
      </w:tr>
      <w:tr w14:paraId="6CAC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272BA80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37EE07D7">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患者上手术台时间、穿刺时间、造影完成时间、血管再通时间、手术结束时间</w:t>
            </w:r>
          </w:p>
        </w:tc>
        <w:tc>
          <w:tcPr>
            <w:tcW w:w="2352" w:type="dxa"/>
            <w:noWrap w:val="0"/>
            <w:tcMar>
              <w:top w:w="150" w:type="dxa"/>
              <w:left w:w="240" w:type="dxa"/>
              <w:bottom w:w="150" w:type="dxa"/>
              <w:right w:w="0" w:type="dxa"/>
            </w:tcMar>
            <w:vAlign w:val="center"/>
          </w:tcPr>
          <w:p w14:paraId="4AE2346E">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APP手动点选/集成平台</w:t>
            </w:r>
          </w:p>
        </w:tc>
      </w:tr>
      <w:tr w14:paraId="1B0F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920" w:type="dxa"/>
            <w:noWrap w:val="0"/>
            <w:tcMar>
              <w:top w:w="150" w:type="dxa"/>
              <w:left w:w="0" w:type="dxa"/>
              <w:bottom w:w="150" w:type="dxa"/>
              <w:right w:w="240" w:type="dxa"/>
            </w:tcMar>
            <w:vAlign w:val="center"/>
          </w:tcPr>
          <w:p w14:paraId="233A3B8A">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院内</w:t>
            </w:r>
          </w:p>
        </w:tc>
        <w:tc>
          <w:tcPr>
            <w:tcW w:w="4250" w:type="dxa"/>
            <w:noWrap w:val="0"/>
            <w:tcMar>
              <w:top w:w="150" w:type="dxa"/>
              <w:left w:w="240" w:type="dxa"/>
              <w:bottom w:w="150" w:type="dxa"/>
              <w:right w:w="240" w:type="dxa"/>
            </w:tcMar>
            <w:vAlign w:val="center"/>
          </w:tcPr>
          <w:p w14:paraId="730D77AD">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离开介入手术室大门时间</w:t>
            </w:r>
          </w:p>
        </w:tc>
        <w:tc>
          <w:tcPr>
            <w:tcW w:w="2352" w:type="dxa"/>
            <w:noWrap w:val="0"/>
            <w:tcMar>
              <w:top w:w="150" w:type="dxa"/>
              <w:left w:w="240" w:type="dxa"/>
              <w:bottom w:w="150" w:type="dxa"/>
              <w:right w:w="0" w:type="dxa"/>
            </w:tcMar>
            <w:vAlign w:val="center"/>
          </w:tcPr>
          <w:p w14:paraId="751D9CC4">
            <w:pPr>
              <w:keepNext/>
              <w:keepLines/>
              <w:pageBreakBefore w:val="0"/>
              <w:widowControl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APP手动点选</w:t>
            </w:r>
          </w:p>
        </w:tc>
      </w:tr>
    </w:tbl>
    <w:p w14:paraId="391789EF">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0" w:name="_Toc239959379"/>
      <w:r>
        <w:rPr>
          <w:rFonts w:hint="eastAsia" w:eastAsia="宋体" w:cs="宋体"/>
          <w:b/>
          <w:bCs/>
          <w:sz w:val="24"/>
          <w:szCs w:val="24"/>
          <w:lang w:val="en-US" w:eastAsia="zh-CN"/>
        </w:rPr>
        <w:t>4、实施服务要求</w:t>
      </w:r>
      <w:bookmarkEnd w:id="10"/>
    </w:p>
    <w:p w14:paraId="7936CED9">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1" w:name="_Toc239959381"/>
      <w:r>
        <w:rPr>
          <w:rFonts w:hint="eastAsia" w:eastAsia="宋体" w:cs="宋体"/>
          <w:b/>
          <w:bCs/>
          <w:sz w:val="24"/>
          <w:szCs w:val="24"/>
          <w:lang w:val="en-US" w:eastAsia="zh-CN"/>
        </w:rPr>
        <w:t>4.1 系统实施</w:t>
      </w:r>
      <w:bookmarkEnd w:id="11"/>
    </w:p>
    <w:p w14:paraId="7571DD2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4.1.1.投标方需提供项目详尽的实施方案和进度表；</w:t>
      </w:r>
    </w:p>
    <w:p w14:paraId="2A5CFE33">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4.1.2.供应商应在系统实施方案中描述具体的实施团队的组成、工作的内容、投入人员、项目进程表及采购人的配合等内容；</w:t>
      </w:r>
    </w:p>
    <w:p w14:paraId="59A1AA93">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4.1.3.系统运行前完成医院各系统数据的收集整理、校对录入和测试，做好数据初始化工作；</w:t>
      </w:r>
    </w:p>
    <w:p w14:paraId="1ABC25AC">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4.1.4.所有工作准备就绪后，严格制定系统启动时间及计划安排。系统正式启动后，运行大约一周的时间后能够保持稳定。</w:t>
      </w:r>
    </w:p>
    <w:p w14:paraId="4FF8BB1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2" w:name="_Toc239959382"/>
      <w:r>
        <w:rPr>
          <w:rFonts w:hint="eastAsia" w:eastAsia="宋体" w:cs="宋体"/>
          <w:b/>
          <w:bCs/>
          <w:sz w:val="24"/>
          <w:szCs w:val="24"/>
          <w:lang w:val="en-US" w:eastAsia="zh-CN"/>
        </w:rPr>
        <w:t>4.2 培训要求</w:t>
      </w:r>
      <w:bookmarkEnd w:id="12"/>
    </w:p>
    <w:p w14:paraId="2F8C6A85">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4.2.1.从项目启动时，成交供应商相关技术人员对相关部门及科室骨干进行分期、分批的各种技术培训；</w:t>
      </w:r>
    </w:p>
    <w:p w14:paraId="5A94F694">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4.2.2.根据不同专业、不同管理要求对各部门及科室负责人及所有上岗操作使用人员进行系统主要功能、系统操作使用方法、系统工作流程培训；</w:t>
      </w:r>
    </w:p>
    <w:p w14:paraId="60125E12">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4.2.3.培训对象包括技术员、系统管理员、管理人员、操作员（医生、护士、管理科室、技术员）等；</w:t>
      </w:r>
    </w:p>
    <w:p w14:paraId="3FC25639">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4.2.4.提供详细的培训计划：包括系统管理员的培训、操作骨干的培训和科室管理人员、操作人员的培训方法和内容。</w:t>
      </w:r>
    </w:p>
    <w:p w14:paraId="0F48B742">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3" w:name="_Toc239959383"/>
      <w:r>
        <w:rPr>
          <w:rFonts w:hint="eastAsia" w:eastAsia="宋体" w:cs="宋体"/>
          <w:b/>
          <w:bCs/>
          <w:sz w:val="24"/>
          <w:szCs w:val="24"/>
          <w:lang w:val="en-US" w:eastAsia="zh-CN"/>
        </w:rPr>
        <w:t>4.3 运行要求</w:t>
      </w:r>
      <w:bookmarkEnd w:id="13"/>
    </w:p>
    <w:p w14:paraId="357029CF">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4.3.1.供应商提供详尽的系统运行方案</w:t>
      </w:r>
    </w:p>
    <w:p w14:paraId="0A16B5B3">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4.3.2.系统运行分为试运行、正式运行、稳定运行及系统移交等步骤</w:t>
      </w:r>
    </w:p>
    <w:p w14:paraId="2EA5B45C">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4" w:name="_Toc239959384"/>
      <w:r>
        <w:rPr>
          <w:rFonts w:hint="eastAsia" w:eastAsia="宋体" w:cs="宋体"/>
          <w:b/>
          <w:bCs/>
          <w:sz w:val="24"/>
          <w:szCs w:val="24"/>
          <w:lang w:val="en-US" w:eastAsia="zh-CN"/>
        </w:rPr>
        <w:t>5、售后服务体系</w:t>
      </w:r>
      <w:bookmarkEnd w:id="14"/>
    </w:p>
    <w:p w14:paraId="4F974E4D">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5" w:name="_Toc239959385"/>
      <w:r>
        <w:rPr>
          <w:rFonts w:hint="eastAsia" w:eastAsia="宋体" w:cs="宋体"/>
          <w:b/>
          <w:bCs/>
          <w:sz w:val="24"/>
          <w:szCs w:val="24"/>
          <w:lang w:val="en-US" w:eastAsia="zh-CN"/>
        </w:rPr>
        <w:t>5.1 质保期承诺</w:t>
      </w:r>
      <w:bookmarkEnd w:id="15"/>
    </w:p>
    <w:p w14:paraId="052D256D">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5.1.1.免费维保期内供应商应采用定期走访、现场服务、电话和网络咨询等方式为用户提供全方位技术服务；</w:t>
      </w:r>
    </w:p>
    <w:p w14:paraId="0C204723">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5.1.2.如系统出现故障不能正常运行，供应商在接到医院的请求后，应立即安排技术人员进行软件维护，按照国家及行业标准对故障进行及时处理，确保系统正常运行。</w:t>
      </w:r>
    </w:p>
    <w:p w14:paraId="392290DC">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6" w:name="_Toc239959386"/>
      <w:r>
        <w:rPr>
          <w:rFonts w:hint="eastAsia" w:eastAsia="宋体" w:cs="宋体"/>
          <w:b/>
          <w:bCs/>
          <w:sz w:val="24"/>
          <w:szCs w:val="24"/>
          <w:lang w:val="en-US" w:eastAsia="zh-CN"/>
        </w:rPr>
        <w:t>5.2 服务响应时效</w:t>
      </w:r>
      <w:bookmarkEnd w:id="16"/>
    </w:p>
    <w:tbl>
      <w:tblPr>
        <w:tblStyle w:val="19"/>
        <w:tblW w:w="8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443"/>
        <w:gridCol w:w="3126"/>
        <w:gridCol w:w="1548"/>
        <w:gridCol w:w="2434"/>
      </w:tblGrid>
      <w:tr w14:paraId="68A3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443" w:type="dxa"/>
            <w:noWrap w:val="0"/>
            <w:tcMar>
              <w:top w:w="150" w:type="dxa"/>
              <w:left w:w="0" w:type="dxa"/>
              <w:bottom w:w="150" w:type="dxa"/>
              <w:right w:w="240" w:type="dxa"/>
            </w:tcMar>
            <w:vAlign w:val="center"/>
          </w:tcPr>
          <w:p w14:paraId="50A238E4">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故障级别</w:t>
            </w:r>
          </w:p>
        </w:tc>
        <w:tc>
          <w:tcPr>
            <w:tcW w:w="3126" w:type="dxa"/>
            <w:noWrap w:val="0"/>
            <w:tcMar>
              <w:top w:w="150" w:type="dxa"/>
              <w:left w:w="240" w:type="dxa"/>
              <w:bottom w:w="150" w:type="dxa"/>
              <w:right w:w="240" w:type="dxa"/>
            </w:tcMar>
            <w:vAlign w:val="center"/>
          </w:tcPr>
          <w:p w14:paraId="274EC311">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定义</w:t>
            </w:r>
          </w:p>
        </w:tc>
        <w:tc>
          <w:tcPr>
            <w:tcW w:w="1548" w:type="dxa"/>
            <w:noWrap w:val="0"/>
            <w:tcMar>
              <w:top w:w="150" w:type="dxa"/>
              <w:left w:w="240" w:type="dxa"/>
              <w:bottom w:w="150" w:type="dxa"/>
              <w:right w:w="240" w:type="dxa"/>
            </w:tcMar>
            <w:vAlign w:val="center"/>
          </w:tcPr>
          <w:p w14:paraId="2BAC55FA">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响应时效</w:t>
            </w:r>
          </w:p>
        </w:tc>
        <w:tc>
          <w:tcPr>
            <w:tcW w:w="2434" w:type="dxa"/>
            <w:noWrap w:val="0"/>
            <w:tcMar>
              <w:top w:w="150" w:type="dxa"/>
              <w:left w:w="240" w:type="dxa"/>
              <w:bottom w:w="150" w:type="dxa"/>
              <w:right w:w="240" w:type="dxa"/>
            </w:tcMar>
            <w:vAlign w:val="center"/>
          </w:tcPr>
          <w:p w14:paraId="0379A9C5">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解决时限</w:t>
            </w:r>
          </w:p>
        </w:tc>
      </w:tr>
      <w:tr w14:paraId="544B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43" w:type="dxa"/>
            <w:noWrap w:val="0"/>
            <w:tcMar>
              <w:top w:w="150" w:type="dxa"/>
              <w:left w:w="0" w:type="dxa"/>
              <w:bottom w:w="150" w:type="dxa"/>
              <w:right w:w="240" w:type="dxa"/>
            </w:tcMar>
            <w:vAlign w:val="center"/>
          </w:tcPr>
          <w:p w14:paraId="40D7ADF2">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P1-紧急</w:t>
            </w:r>
          </w:p>
        </w:tc>
        <w:tc>
          <w:tcPr>
            <w:tcW w:w="3126" w:type="dxa"/>
            <w:noWrap w:val="0"/>
            <w:tcMar>
              <w:top w:w="150" w:type="dxa"/>
              <w:left w:w="240" w:type="dxa"/>
              <w:bottom w:w="150" w:type="dxa"/>
              <w:right w:w="240" w:type="dxa"/>
            </w:tcMar>
            <w:vAlign w:val="center"/>
          </w:tcPr>
          <w:p w14:paraId="5FF1FC88">
            <w:pPr>
              <w:keepNext/>
              <w:keepLines/>
              <w:pageBreakBefore w:val="0"/>
              <w:widowControl w:val="0"/>
              <w:kinsoku/>
              <w:wordWrap/>
              <w:overflowPunct/>
              <w:topLinePunct w:val="0"/>
              <w:autoSpaceDE/>
              <w:autoSpaceDN/>
              <w:bidi w:val="0"/>
              <w:adjustRightInd/>
              <w:snapToGrid/>
              <w:spacing w:beforeAutospacing="0" w:afterAutospacing="0"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全院系统瘫痪/数据丢失</w:t>
            </w:r>
          </w:p>
        </w:tc>
        <w:tc>
          <w:tcPr>
            <w:tcW w:w="1548" w:type="dxa"/>
            <w:noWrap w:val="0"/>
            <w:tcMar>
              <w:top w:w="150" w:type="dxa"/>
              <w:left w:w="240" w:type="dxa"/>
              <w:bottom w:w="150" w:type="dxa"/>
              <w:right w:w="240" w:type="dxa"/>
            </w:tcMar>
            <w:vAlign w:val="center"/>
          </w:tcPr>
          <w:p w14:paraId="57E473D6">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≤15分钟</w:t>
            </w:r>
          </w:p>
        </w:tc>
        <w:tc>
          <w:tcPr>
            <w:tcW w:w="2434" w:type="dxa"/>
            <w:noWrap w:val="0"/>
            <w:tcMar>
              <w:top w:w="150" w:type="dxa"/>
              <w:left w:w="240" w:type="dxa"/>
              <w:bottom w:w="150" w:type="dxa"/>
              <w:right w:w="0" w:type="dxa"/>
            </w:tcMar>
            <w:vAlign w:val="center"/>
          </w:tcPr>
          <w:p w14:paraId="4D713BA3">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4小时内解决或提供替代方案</w:t>
            </w:r>
          </w:p>
        </w:tc>
      </w:tr>
      <w:tr w14:paraId="67C2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43" w:type="dxa"/>
            <w:noWrap w:val="0"/>
            <w:tcMar>
              <w:top w:w="150" w:type="dxa"/>
              <w:left w:w="0" w:type="dxa"/>
              <w:bottom w:w="150" w:type="dxa"/>
              <w:right w:w="240" w:type="dxa"/>
            </w:tcMar>
            <w:vAlign w:val="center"/>
          </w:tcPr>
          <w:p w14:paraId="2B136BBD">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P2-严重</w:t>
            </w:r>
          </w:p>
        </w:tc>
        <w:tc>
          <w:tcPr>
            <w:tcW w:w="3126" w:type="dxa"/>
            <w:noWrap w:val="0"/>
            <w:tcMar>
              <w:top w:w="150" w:type="dxa"/>
              <w:left w:w="240" w:type="dxa"/>
              <w:bottom w:w="150" w:type="dxa"/>
              <w:right w:w="240" w:type="dxa"/>
            </w:tcMar>
            <w:vAlign w:val="center"/>
          </w:tcPr>
          <w:p w14:paraId="697801CF">
            <w:pPr>
              <w:keepNext/>
              <w:keepLines/>
              <w:pageBreakBefore w:val="0"/>
              <w:widowControl w:val="0"/>
              <w:kinsoku/>
              <w:wordWrap/>
              <w:overflowPunct/>
              <w:topLinePunct w:val="0"/>
              <w:autoSpaceDE/>
              <w:autoSpaceDN/>
              <w:bidi w:val="0"/>
              <w:adjustRightInd/>
              <w:snapToGrid/>
              <w:spacing w:beforeAutospacing="0" w:afterAutospacing="0"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单中心功能失效（如卒中预警失灵）</w:t>
            </w:r>
          </w:p>
        </w:tc>
        <w:tc>
          <w:tcPr>
            <w:tcW w:w="1548" w:type="dxa"/>
            <w:noWrap w:val="0"/>
            <w:tcMar>
              <w:top w:w="150" w:type="dxa"/>
              <w:left w:w="240" w:type="dxa"/>
              <w:bottom w:w="150" w:type="dxa"/>
              <w:right w:w="240" w:type="dxa"/>
            </w:tcMar>
            <w:vAlign w:val="center"/>
          </w:tcPr>
          <w:p w14:paraId="550C0DC7">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≤30分钟</w:t>
            </w:r>
          </w:p>
        </w:tc>
        <w:tc>
          <w:tcPr>
            <w:tcW w:w="2434" w:type="dxa"/>
            <w:noWrap w:val="0"/>
            <w:tcMar>
              <w:top w:w="150" w:type="dxa"/>
              <w:left w:w="240" w:type="dxa"/>
              <w:bottom w:w="150" w:type="dxa"/>
              <w:right w:w="0" w:type="dxa"/>
            </w:tcMar>
            <w:vAlign w:val="center"/>
          </w:tcPr>
          <w:p w14:paraId="00E2BDDB">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8小时内解决</w:t>
            </w:r>
          </w:p>
        </w:tc>
      </w:tr>
      <w:tr w14:paraId="1476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43" w:type="dxa"/>
            <w:noWrap w:val="0"/>
            <w:tcMar>
              <w:top w:w="150" w:type="dxa"/>
              <w:left w:w="0" w:type="dxa"/>
              <w:bottom w:w="150" w:type="dxa"/>
              <w:right w:w="240" w:type="dxa"/>
            </w:tcMar>
            <w:vAlign w:val="center"/>
          </w:tcPr>
          <w:p w14:paraId="6E2D448E">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P3-一般</w:t>
            </w:r>
          </w:p>
        </w:tc>
        <w:tc>
          <w:tcPr>
            <w:tcW w:w="3126" w:type="dxa"/>
            <w:noWrap w:val="0"/>
            <w:tcMar>
              <w:top w:w="150" w:type="dxa"/>
              <w:left w:w="240" w:type="dxa"/>
              <w:bottom w:w="150" w:type="dxa"/>
              <w:right w:w="240" w:type="dxa"/>
            </w:tcMar>
            <w:vAlign w:val="center"/>
          </w:tcPr>
          <w:p w14:paraId="4CBF905B">
            <w:pPr>
              <w:keepNext/>
              <w:keepLines/>
              <w:pageBreakBefore w:val="0"/>
              <w:widowControl w:val="0"/>
              <w:kinsoku/>
              <w:wordWrap/>
              <w:overflowPunct/>
              <w:topLinePunct w:val="0"/>
              <w:autoSpaceDE/>
              <w:autoSpaceDN/>
              <w:bidi w:val="0"/>
              <w:adjustRightInd/>
              <w:snapToGrid/>
              <w:spacing w:beforeAutospacing="0" w:afterAutospacing="0"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非核心模块异常（如报表延迟）</w:t>
            </w:r>
          </w:p>
        </w:tc>
        <w:tc>
          <w:tcPr>
            <w:tcW w:w="1548" w:type="dxa"/>
            <w:noWrap w:val="0"/>
            <w:tcMar>
              <w:top w:w="150" w:type="dxa"/>
              <w:left w:w="240" w:type="dxa"/>
              <w:bottom w:w="150" w:type="dxa"/>
              <w:right w:w="240" w:type="dxa"/>
            </w:tcMar>
            <w:vAlign w:val="center"/>
          </w:tcPr>
          <w:p w14:paraId="43BA7C4B">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≤2小时</w:t>
            </w:r>
          </w:p>
        </w:tc>
        <w:tc>
          <w:tcPr>
            <w:tcW w:w="2434" w:type="dxa"/>
            <w:noWrap w:val="0"/>
            <w:tcMar>
              <w:top w:w="150" w:type="dxa"/>
              <w:left w:w="240" w:type="dxa"/>
              <w:bottom w:w="150" w:type="dxa"/>
              <w:right w:w="0" w:type="dxa"/>
            </w:tcMar>
            <w:vAlign w:val="center"/>
          </w:tcPr>
          <w:p w14:paraId="1DC90619">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24小时内解决</w:t>
            </w:r>
          </w:p>
        </w:tc>
      </w:tr>
      <w:tr w14:paraId="0387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43" w:type="dxa"/>
            <w:noWrap w:val="0"/>
            <w:tcMar>
              <w:top w:w="150" w:type="dxa"/>
              <w:left w:w="0" w:type="dxa"/>
              <w:bottom w:w="150" w:type="dxa"/>
              <w:right w:w="240" w:type="dxa"/>
            </w:tcMar>
            <w:vAlign w:val="center"/>
          </w:tcPr>
          <w:p w14:paraId="0320B9FE">
            <w:pPr>
              <w:keepNext/>
              <w:keepLines/>
              <w:pageBreakBefore w:val="0"/>
              <w:widowControl w:val="0"/>
              <w:kinsoku/>
              <w:wordWrap/>
              <w:overflowPunct/>
              <w:topLinePunct w:val="0"/>
              <w:autoSpaceDE/>
              <w:autoSpaceDN/>
              <w:bidi w:val="0"/>
              <w:adjustRightInd/>
              <w:snapToGrid/>
              <w:spacing w:beforeAutospacing="0" w:afterAutospacing="0" w:line="46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P4-轻微</w:t>
            </w:r>
          </w:p>
        </w:tc>
        <w:tc>
          <w:tcPr>
            <w:tcW w:w="3126" w:type="dxa"/>
            <w:noWrap w:val="0"/>
            <w:tcMar>
              <w:top w:w="150" w:type="dxa"/>
              <w:left w:w="240" w:type="dxa"/>
              <w:bottom w:w="150" w:type="dxa"/>
              <w:right w:w="240" w:type="dxa"/>
            </w:tcMar>
            <w:vAlign w:val="center"/>
          </w:tcPr>
          <w:p w14:paraId="5C3CCAA5">
            <w:pPr>
              <w:keepNext/>
              <w:keepLines/>
              <w:pageBreakBefore w:val="0"/>
              <w:widowControl w:val="0"/>
              <w:kinsoku/>
              <w:wordWrap/>
              <w:overflowPunct/>
              <w:topLinePunct w:val="0"/>
              <w:autoSpaceDE/>
              <w:autoSpaceDN/>
              <w:bidi w:val="0"/>
              <w:adjustRightInd/>
              <w:snapToGrid/>
              <w:spacing w:beforeAutospacing="0" w:afterAutospacing="0"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界面显示错误/操作提示不明确</w:t>
            </w:r>
          </w:p>
        </w:tc>
        <w:tc>
          <w:tcPr>
            <w:tcW w:w="1548" w:type="dxa"/>
            <w:noWrap w:val="0"/>
            <w:tcMar>
              <w:top w:w="150" w:type="dxa"/>
              <w:left w:w="240" w:type="dxa"/>
              <w:bottom w:w="150" w:type="dxa"/>
              <w:right w:w="240" w:type="dxa"/>
            </w:tcMar>
            <w:vAlign w:val="center"/>
          </w:tcPr>
          <w:p w14:paraId="66D8A809">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≤4小时</w:t>
            </w:r>
          </w:p>
        </w:tc>
        <w:tc>
          <w:tcPr>
            <w:tcW w:w="2434" w:type="dxa"/>
            <w:noWrap w:val="0"/>
            <w:tcMar>
              <w:top w:w="150" w:type="dxa"/>
              <w:left w:w="240" w:type="dxa"/>
              <w:bottom w:w="150" w:type="dxa"/>
              <w:right w:w="0" w:type="dxa"/>
            </w:tcMar>
            <w:vAlign w:val="center"/>
          </w:tcPr>
          <w:p w14:paraId="5344961A">
            <w:pPr>
              <w:keepNext/>
              <w:keepLines/>
              <w:pageBreakBefore w:val="0"/>
              <w:widowControl w:val="0"/>
              <w:kinsoku/>
              <w:wordWrap/>
              <w:overflowPunct/>
              <w:topLinePunct w:val="0"/>
              <w:autoSpaceDE/>
              <w:autoSpaceDN/>
              <w:bidi w:val="0"/>
              <w:adjustRightInd/>
              <w:snapToGrid/>
              <w:spacing w:beforeAutospacing="0" w:afterAutospacing="0" w:line="460" w:lineRule="exact"/>
              <w:textAlignment w:val="auto"/>
              <w:rPr>
                <w:rFonts w:hint="eastAsia" w:ascii="宋体" w:hAnsi="宋体" w:eastAsia="宋体" w:cs="宋体"/>
                <w:sz w:val="24"/>
                <w:szCs w:val="24"/>
              </w:rPr>
            </w:pPr>
            <w:r>
              <w:rPr>
                <w:rFonts w:hint="eastAsia" w:ascii="宋体" w:hAnsi="宋体" w:eastAsia="宋体" w:cs="宋体"/>
                <w:sz w:val="24"/>
                <w:szCs w:val="24"/>
              </w:rPr>
              <w:t>48小时内回复</w:t>
            </w:r>
          </w:p>
        </w:tc>
      </w:tr>
    </w:tbl>
    <w:p w14:paraId="4F1AA3CC">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7" w:name="_Toc239959387"/>
      <w:r>
        <w:rPr>
          <w:rFonts w:hint="eastAsia" w:eastAsia="宋体" w:cs="宋体"/>
          <w:b/>
          <w:bCs/>
          <w:sz w:val="24"/>
          <w:szCs w:val="24"/>
          <w:lang w:val="en-US" w:eastAsia="zh-CN"/>
        </w:rPr>
        <w:t>5.3 服务方式</w:t>
      </w:r>
      <w:bookmarkEnd w:id="17"/>
    </w:p>
    <w:p w14:paraId="1E4AE608">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5.3.1.电话支持：提供7×24小时电话支持服务</w:t>
      </w:r>
    </w:p>
    <w:p w14:paraId="6CAB479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5.3.2.远程支持：通过远程桌面等方式进行故障诊断与排除</w:t>
      </w:r>
    </w:p>
    <w:p w14:paraId="203253D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5.3.3.现场服务：需要现场处理的问题，24小时内到达现场</w:t>
      </w:r>
    </w:p>
    <w:p w14:paraId="2AC2078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5.3.4.定期巡检：首年内每季度进行一次巡检，第二年起每半年进行一次巡检</w:t>
      </w:r>
    </w:p>
    <w:p w14:paraId="45079772">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2" w:firstLineChars="200"/>
        <w:textAlignment w:val="auto"/>
        <w:outlineLvl w:val="9"/>
        <w:rPr>
          <w:rFonts w:hint="eastAsia" w:eastAsia="宋体" w:cs="宋体"/>
          <w:b/>
          <w:bCs/>
          <w:sz w:val="24"/>
          <w:szCs w:val="24"/>
          <w:lang w:val="en-US" w:eastAsia="zh-CN"/>
        </w:rPr>
      </w:pPr>
      <w:bookmarkStart w:id="18" w:name="_Toc239959388"/>
      <w:r>
        <w:rPr>
          <w:rFonts w:hint="eastAsia" w:eastAsia="宋体" w:cs="宋体"/>
          <w:b/>
          <w:bCs/>
          <w:sz w:val="24"/>
          <w:szCs w:val="24"/>
          <w:lang w:val="en-US" w:eastAsia="zh-CN"/>
        </w:rPr>
        <w:t>5.4 其他服务</w:t>
      </w:r>
      <w:bookmarkEnd w:id="18"/>
      <w:r>
        <w:rPr>
          <w:rFonts w:hint="eastAsia" w:eastAsia="宋体" w:cs="宋体"/>
          <w:b/>
          <w:bCs/>
          <w:sz w:val="24"/>
          <w:szCs w:val="24"/>
          <w:lang w:val="en-US" w:eastAsia="zh-CN"/>
        </w:rPr>
        <w:t>要求</w:t>
      </w:r>
    </w:p>
    <w:p w14:paraId="028123A6">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5.4.1. 流程梳理咨询服务</w:t>
      </w:r>
    </w:p>
    <w:p w14:paraId="221FFE7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提供医院急诊卒中救治全流程梳理咨询服务，深入院前急救、急诊接诊、影像检查、溶栓/介入、多学科协作、质控各环节，梳理现有流程短板，输出标准化救治流程图、岗位权责清单、时间节点管控方案，建立长效流程优化机制。</w:t>
      </w:r>
    </w:p>
    <w:p w14:paraId="74A7EA2E">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b w:val="0"/>
          <w:bCs w:val="0"/>
          <w:sz w:val="24"/>
          <w:szCs w:val="24"/>
          <w:lang w:val="en-US" w:eastAsia="zh-CN"/>
        </w:rPr>
      </w:pPr>
      <w:r>
        <w:rPr>
          <w:rFonts w:hint="eastAsia" w:eastAsia="宋体" w:cs="宋体"/>
          <w:b w:val="0"/>
          <w:bCs w:val="0"/>
          <w:sz w:val="24"/>
          <w:szCs w:val="24"/>
          <w:lang w:val="en-US" w:eastAsia="zh-CN"/>
        </w:rPr>
        <w:t>5.4.2. 卒中中心等级认证辅导服务</w:t>
      </w:r>
    </w:p>
    <w:p w14:paraId="5740B2CB">
      <w:pPr>
        <w:keepNext/>
        <w:keepLines/>
        <w:pageBreakBefore w:val="0"/>
        <w:widowControl w:val="0"/>
        <w:kinsoku/>
        <w:wordWrap/>
        <w:overflowPunct/>
        <w:topLinePunct w:val="0"/>
        <w:autoSpaceDE/>
        <w:autoSpaceDN/>
        <w:bidi w:val="0"/>
        <w:adjustRightInd/>
        <w:snapToGrid/>
        <w:spacing w:before="0" w:beforeAutospacing="0" w:after="0" w:afterAutospacing="0" w:line="480" w:lineRule="exact"/>
        <w:ind w:firstLine="480" w:firstLineChars="200"/>
        <w:textAlignment w:val="auto"/>
        <w:outlineLvl w:val="9"/>
        <w:rPr>
          <w:rFonts w:hint="eastAsia" w:eastAsia="宋体" w:cs="宋体"/>
          <w:sz w:val="24"/>
          <w:szCs w:val="24"/>
          <w:lang w:val="en-US" w:eastAsia="zh-CN"/>
        </w:rPr>
      </w:pPr>
      <w:r>
        <w:rPr>
          <w:rFonts w:hint="eastAsia" w:eastAsia="宋体" w:cs="宋体"/>
          <w:sz w:val="24"/>
          <w:szCs w:val="24"/>
          <w:lang w:val="en-US" w:eastAsia="zh-CN"/>
        </w:rPr>
        <w:t>提供卒中中心等级认证全周期辅导服务，对照国家卒中中心评审标准协助完善台账资料、质控指标管理、迎审筹备、模拟自评；全程指导资料填报、现场核查整改，持续优化DNT等核心救治指标，协助医院顺利通过卒中中心官方认证。</w:t>
      </w:r>
    </w:p>
    <w:p w14:paraId="644FF2F2">
      <w:pPr>
        <w:keepNext w:val="0"/>
        <w:keepLines w:val="0"/>
        <w:pageBreakBefore w:val="0"/>
        <w:widowControl w:val="0"/>
        <w:tabs>
          <w:tab w:val="left" w:pos="7020"/>
        </w:tabs>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kern w:val="2"/>
          <w:sz w:val="24"/>
          <w:szCs w:val="24"/>
          <w:highlight w:val="none"/>
          <w:lang w:val="en-US" w:eastAsia="zh-CN" w:bidi="ar-SA"/>
        </w:rPr>
      </w:pPr>
    </w:p>
    <w:p w14:paraId="3FE26BED">
      <w:pPr>
        <w:keepNext w:val="0"/>
        <w:keepLines w:val="0"/>
        <w:pageBreakBefore w:val="0"/>
        <w:widowControl w:val="0"/>
        <w:tabs>
          <w:tab w:val="left" w:pos="7020"/>
        </w:tabs>
        <w:kinsoku/>
        <w:wordWrap/>
        <w:overflowPunct/>
        <w:topLinePunct w:val="0"/>
        <w:autoSpaceDE/>
        <w:autoSpaceDN/>
        <w:bidi w:val="0"/>
        <w:adjustRightInd/>
        <w:snapToGrid/>
        <w:spacing w:line="480" w:lineRule="exact"/>
        <w:ind w:left="0" w:leftChars="0" w:firstLine="241" w:firstLineChars="100"/>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（三）商务要求</w:t>
      </w:r>
    </w:p>
    <w:p w14:paraId="09E3F17D">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19" w:name="_Toc13942"/>
      <w:r>
        <w:rPr>
          <w:rFonts w:hint="eastAsia" w:ascii="宋体" w:hAnsi="宋体" w:eastAsia="宋体" w:cs="宋体"/>
          <w:kern w:val="2"/>
          <w:sz w:val="24"/>
          <w:szCs w:val="24"/>
          <w:lang w:val="en-US" w:eastAsia="zh-CN" w:bidi="ar-SA"/>
        </w:rPr>
        <w:t>1、软件的设计开发、安装调试、试运行、验收等按照以下原则执行：有国家标准的执行国家标准；无国家标准的执行行业标准，无行业标准的执行地方标准；无地方标准的执行企业标准。所有软件必须为正版。</w:t>
      </w:r>
      <w:bookmarkEnd w:id="19"/>
    </w:p>
    <w:p w14:paraId="6330FAAE">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20" w:name="_Toc28407"/>
      <w:r>
        <w:rPr>
          <w:rFonts w:hint="eastAsia" w:ascii="宋体" w:hAnsi="宋体" w:eastAsia="宋体" w:cs="宋体"/>
          <w:kern w:val="2"/>
          <w:sz w:val="24"/>
          <w:szCs w:val="24"/>
          <w:lang w:val="en-US" w:eastAsia="zh-CN" w:bidi="ar-SA"/>
        </w:rPr>
        <w:t>2、技术支持</w:t>
      </w:r>
      <w:bookmarkEnd w:id="20"/>
    </w:p>
    <w:p w14:paraId="01569BEC">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21" w:name="_Toc9355"/>
      <w:r>
        <w:rPr>
          <w:rFonts w:hint="eastAsia" w:ascii="宋体" w:hAnsi="宋体" w:eastAsia="宋体" w:cs="宋体"/>
          <w:kern w:val="2"/>
          <w:sz w:val="24"/>
          <w:szCs w:val="24"/>
          <w:lang w:val="en-US" w:eastAsia="zh-CN" w:bidi="ar-SA"/>
        </w:rPr>
        <w:t>2.1 成交供应商应向采购人提供全方位及时而有效的技术支持和服务。</w:t>
      </w:r>
      <w:bookmarkEnd w:id="21"/>
    </w:p>
    <w:p w14:paraId="4AFDD189">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22" w:name="_Toc27387"/>
      <w:r>
        <w:rPr>
          <w:rFonts w:hint="eastAsia" w:ascii="宋体" w:hAnsi="宋体" w:eastAsia="宋体" w:cs="宋体"/>
          <w:kern w:val="2"/>
          <w:sz w:val="24"/>
          <w:szCs w:val="24"/>
          <w:lang w:val="en-US" w:eastAsia="zh-CN" w:bidi="ar-SA"/>
        </w:rPr>
        <w:t>2.2 如成交供应商发生兼并、重组，采购人本项目的建设、维护等相关工作必须由新组建的公司按磋商文件及</w:t>
      </w:r>
      <w:r>
        <w:rPr>
          <w:rFonts w:hint="eastAsia" w:ascii="宋体" w:hAnsi="宋体" w:cs="宋体"/>
          <w:kern w:val="2"/>
          <w:sz w:val="24"/>
          <w:szCs w:val="24"/>
          <w:lang w:val="en-US" w:eastAsia="zh-CN" w:bidi="ar-SA"/>
        </w:rPr>
        <w:t>响应文件</w:t>
      </w:r>
      <w:r>
        <w:rPr>
          <w:rFonts w:hint="eastAsia" w:ascii="宋体" w:hAnsi="宋体" w:eastAsia="宋体" w:cs="宋体"/>
          <w:kern w:val="2"/>
          <w:sz w:val="24"/>
          <w:szCs w:val="24"/>
          <w:lang w:val="en-US" w:eastAsia="zh-CN" w:bidi="ar-SA"/>
        </w:rPr>
        <w:t>承担相应的义务。</w:t>
      </w:r>
      <w:bookmarkEnd w:id="22"/>
    </w:p>
    <w:p w14:paraId="7A6FE2C4">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23" w:name="_Toc5331"/>
      <w:r>
        <w:rPr>
          <w:rFonts w:hint="eastAsia" w:ascii="宋体" w:hAnsi="宋体" w:eastAsia="宋体" w:cs="宋体"/>
          <w:kern w:val="2"/>
          <w:sz w:val="24"/>
          <w:szCs w:val="24"/>
          <w:lang w:val="en-US" w:eastAsia="zh-CN" w:bidi="ar-SA"/>
        </w:rPr>
        <w:t>3、成交供应商须设有运维服务电话，负责解答采购人在使用中遇到的问题，及时提出解决问题的建议和操作方法。</w:t>
      </w:r>
      <w:bookmarkEnd w:id="23"/>
    </w:p>
    <w:p w14:paraId="6F7E6874">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outlineLvl w:val="0"/>
        <w:rPr>
          <w:rFonts w:hint="eastAsia" w:ascii="宋体" w:hAnsi="宋体" w:eastAsia="宋体" w:cs="宋体"/>
          <w:kern w:val="2"/>
          <w:sz w:val="24"/>
          <w:szCs w:val="24"/>
          <w:lang w:val="en-US" w:eastAsia="zh-CN" w:bidi="ar-SA"/>
        </w:rPr>
      </w:pPr>
      <w:bookmarkStart w:id="24" w:name="_Toc18367"/>
      <w:r>
        <w:rPr>
          <w:rFonts w:hint="eastAsia" w:ascii="宋体" w:hAnsi="宋体" w:eastAsia="宋体" w:cs="宋体"/>
          <w:kern w:val="2"/>
          <w:sz w:val="24"/>
          <w:szCs w:val="24"/>
          <w:lang w:val="en-US" w:eastAsia="zh-CN" w:bidi="ar-SA"/>
        </w:rPr>
        <w:t>3.1 售后服务响应时间：必须提供运维期内的软件及硬件设备的维修服务。如出现故障，并在出现系统故障的 30 分钟内给予问题的解答，电话响应无法解决，成交供应商必须在接报修电话 12 小时内到达现场，并在 24 小时内解除问题。</w:t>
      </w:r>
      <w:bookmarkEnd w:id="24"/>
    </w:p>
    <w:p w14:paraId="2C360F39">
      <w:pPr>
        <w:pStyle w:val="35"/>
        <w:keepNext w:val="0"/>
        <w:keepLines w:val="0"/>
        <w:pageBreakBefore w:val="0"/>
        <w:widowControl w:val="0"/>
        <w:kinsoku/>
        <w:wordWrap/>
        <w:overflowPunct/>
        <w:topLinePunct w:val="0"/>
        <w:bidi w:val="0"/>
        <w:snapToGrid/>
        <w:spacing w:beforeAutospacing="0" w:after="0" w:afterAutospacing="0" w:line="440" w:lineRule="exact"/>
        <w:ind w:left="0" w:leftChars="0" w:right="0" w:rightChars="0" w:firstLine="422" w:firstLineChars="175"/>
        <w:jc w:val="both"/>
        <w:textAlignment w:val="auto"/>
        <w:rPr>
          <w:rFonts w:hint="eastAsia" w:ascii="宋体" w:hAnsi="宋体" w:eastAsia="宋体" w:cs="宋体"/>
          <w:b/>
          <w:bCs/>
          <w:kern w:val="2"/>
          <w:sz w:val="24"/>
          <w:szCs w:val="24"/>
          <w:highlight w:val="yellow"/>
          <w:lang w:val="en-US" w:eastAsia="zh-CN" w:bidi="ar-SA"/>
        </w:rPr>
      </w:pPr>
      <w:bookmarkStart w:id="25" w:name="_Toc26062"/>
      <w:r>
        <w:rPr>
          <w:rFonts w:hint="eastAsia" w:ascii="宋体" w:hAnsi="宋体" w:eastAsia="宋体" w:cs="宋体"/>
          <w:b/>
          <w:bCs/>
          <w:kern w:val="2"/>
          <w:sz w:val="24"/>
          <w:szCs w:val="24"/>
          <w:highlight w:val="yellow"/>
          <w:lang w:val="en-US" w:eastAsia="zh-CN" w:bidi="ar-SA"/>
        </w:rPr>
        <w:t>4、</w:t>
      </w:r>
      <w:bookmarkEnd w:id="25"/>
      <w:r>
        <w:rPr>
          <w:rFonts w:hint="eastAsia" w:ascii="宋体" w:hAnsi="宋体" w:eastAsia="宋体" w:cs="宋体"/>
          <w:b/>
          <w:bCs/>
          <w:kern w:val="2"/>
          <w:sz w:val="24"/>
          <w:szCs w:val="24"/>
          <w:highlight w:val="yellow"/>
          <w:lang w:val="zh-CN" w:eastAsia="zh-CN" w:bidi="ar-SA"/>
        </w:rPr>
        <w:t>合同履行期限：合同签订后3个月内完成软硬件设备的安装、调试等工作，并通过</w:t>
      </w:r>
      <w:r>
        <w:rPr>
          <w:rFonts w:hint="eastAsia" w:ascii="宋体" w:hAnsi="宋体" w:eastAsia="宋体" w:cs="宋体"/>
          <w:b/>
          <w:bCs/>
          <w:kern w:val="2"/>
          <w:sz w:val="24"/>
          <w:szCs w:val="24"/>
          <w:highlight w:val="yellow"/>
          <w:lang w:val="en-US" w:eastAsia="zh-CN" w:bidi="ar-SA"/>
        </w:rPr>
        <w:t>验收</w:t>
      </w:r>
      <w:r>
        <w:rPr>
          <w:rFonts w:hint="eastAsia" w:ascii="宋体" w:hAnsi="宋体" w:eastAsia="宋体" w:cs="宋体"/>
          <w:b/>
          <w:bCs/>
          <w:kern w:val="2"/>
          <w:sz w:val="24"/>
          <w:szCs w:val="24"/>
          <w:highlight w:val="yellow"/>
          <w:lang w:val="zh-CN" w:eastAsia="zh-CN" w:bidi="ar-SA"/>
        </w:rPr>
        <w:t>。</w:t>
      </w:r>
    </w:p>
    <w:p w14:paraId="3E08C1F2">
      <w:pPr>
        <w:keepNext w:val="0"/>
        <w:keepLines w:val="0"/>
        <w:pageBreakBefore w:val="0"/>
        <w:numPr>
          <w:ilvl w:val="0"/>
          <w:numId w:val="0"/>
        </w:numPr>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5、</w:t>
      </w:r>
      <w:r>
        <w:rPr>
          <w:rFonts w:hint="eastAsia" w:ascii="宋体" w:hAnsi="宋体" w:eastAsia="宋体" w:cs="宋体"/>
          <w:kern w:val="2"/>
          <w:sz w:val="24"/>
          <w:szCs w:val="24"/>
          <w:lang w:val="zh-CN" w:eastAsia="zh-CN" w:bidi="ar-SA"/>
        </w:rPr>
        <w:t>服务地点：马鞍山市</w:t>
      </w:r>
      <w:r>
        <w:rPr>
          <w:rFonts w:hint="eastAsia" w:ascii="宋体" w:hAnsi="宋体" w:eastAsia="宋体" w:cs="宋体"/>
          <w:kern w:val="2"/>
          <w:sz w:val="24"/>
          <w:szCs w:val="24"/>
          <w:lang w:val="en-US" w:eastAsia="zh-CN" w:bidi="ar-SA"/>
        </w:rPr>
        <w:t>中医院</w:t>
      </w:r>
      <w:r>
        <w:rPr>
          <w:rFonts w:hint="eastAsia" w:ascii="宋体" w:hAnsi="宋体" w:eastAsia="宋体" w:cs="宋体"/>
          <w:kern w:val="2"/>
          <w:sz w:val="24"/>
          <w:szCs w:val="24"/>
          <w:lang w:val="zh-CN" w:eastAsia="zh-CN" w:bidi="ar-SA"/>
        </w:rPr>
        <w:t>（采购人指定地点）。</w:t>
      </w:r>
    </w:p>
    <w:p w14:paraId="3860F9DD">
      <w:pPr>
        <w:pStyle w:val="35"/>
        <w:keepNext w:val="0"/>
        <w:keepLines w:val="0"/>
        <w:pageBreakBefore w:val="0"/>
        <w:widowControl w:val="0"/>
        <w:kinsoku/>
        <w:wordWrap/>
        <w:overflowPunct/>
        <w:topLinePunct w:val="0"/>
        <w:bidi w:val="0"/>
        <w:snapToGrid/>
        <w:spacing w:beforeAutospacing="0" w:after="0" w:afterAutospacing="0" w:line="440" w:lineRule="exact"/>
        <w:ind w:left="0" w:leftChars="0" w:right="0" w:rightChars="0" w:firstLine="422" w:firstLineChars="175"/>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b/>
          <w:bCs/>
          <w:kern w:val="2"/>
          <w:sz w:val="24"/>
          <w:szCs w:val="24"/>
          <w:highlight w:val="yellow"/>
          <w:lang w:val="en-US" w:eastAsia="zh-CN" w:bidi="ar-SA"/>
        </w:rPr>
        <w:t>6</w:t>
      </w:r>
      <w:r>
        <w:rPr>
          <w:rFonts w:hint="eastAsia" w:ascii="宋体" w:hAnsi="宋体" w:eastAsia="宋体" w:cs="宋体"/>
          <w:b/>
          <w:bCs/>
          <w:kern w:val="2"/>
          <w:sz w:val="24"/>
          <w:szCs w:val="24"/>
          <w:highlight w:val="yellow"/>
          <w:lang w:val="zh-CN" w:eastAsia="zh-CN" w:bidi="ar-SA"/>
        </w:rPr>
        <w:t>、</w:t>
      </w:r>
      <w:r>
        <w:rPr>
          <w:rFonts w:hint="eastAsia" w:ascii="宋体" w:hAnsi="宋体" w:eastAsia="宋体" w:cs="宋体"/>
          <w:b/>
          <w:bCs/>
          <w:kern w:val="2"/>
          <w:sz w:val="24"/>
          <w:szCs w:val="24"/>
          <w:highlight w:val="yellow"/>
          <w:lang w:val="en-US" w:eastAsia="zh-CN" w:bidi="ar-SA"/>
        </w:rPr>
        <w:t>质保期：自项目验收合格之日起提供免费质保期3年。</w:t>
      </w:r>
    </w:p>
    <w:p w14:paraId="63A45F35">
      <w:pPr>
        <w:pStyle w:val="35"/>
        <w:keepNext w:val="0"/>
        <w:keepLines w:val="0"/>
        <w:pageBreakBefore w:val="0"/>
        <w:widowControl w:val="0"/>
        <w:kinsoku/>
        <w:wordWrap/>
        <w:overflowPunct/>
        <w:topLinePunct w:val="0"/>
        <w:bidi w:val="0"/>
        <w:snapToGrid/>
        <w:spacing w:beforeAutospacing="0" w:after="0" w:afterAutospacing="0" w:line="440" w:lineRule="exact"/>
        <w:ind w:left="0" w:leftChars="0" w:right="0" w:rightChars="0" w:firstLine="422" w:firstLineChars="175"/>
        <w:jc w:val="both"/>
        <w:textAlignment w:val="auto"/>
        <w:rPr>
          <w:rFonts w:hint="eastAsia" w:ascii="宋体" w:hAnsi="宋体" w:eastAsia="宋体" w:cs="宋体"/>
          <w:b/>
          <w:bCs/>
          <w:kern w:val="2"/>
          <w:sz w:val="24"/>
          <w:szCs w:val="24"/>
          <w:highlight w:val="yellow"/>
          <w:lang w:val="zh-CN" w:eastAsia="zh-CN" w:bidi="ar-SA"/>
        </w:rPr>
      </w:pPr>
      <w:r>
        <w:rPr>
          <w:rFonts w:hint="eastAsia" w:ascii="宋体" w:hAnsi="宋体" w:eastAsia="宋体" w:cs="宋体"/>
          <w:b/>
          <w:bCs/>
          <w:kern w:val="2"/>
          <w:sz w:val="24"/>
          <w:szCs w:val="24"/>
          <w:highlight w:val="yellow"/>
          <w:lang w:val="en-US" w:eastAsia="zh-CN" w:bidi="ar-SA"/>
        </w:rPr>
        <w:t>7、付款方式：合同签订之后采购人向供应商支付合同金额30%作为预付款；项目验收后采购人向供应商支付合同金额60%；在3年质保期结束后，30个工作日内采购人向支付剩余10%合同价款。</w:t>
      </w:r>
    </w:p>
    <w:p w14:paraId="596E04EB">
      <w:pPr>
        <w:keepNext w:val="0"/>
        <w:keepLines w:val="0"/>
        <w:pageBreakBefore w:val="0"/>
        <w:numPr>
          <w:ilvl w:val="0"/>
          <w:numId w:val="0"/>
        </w:numPr>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8、</w:t>
      </w:r>
      <w:r>
        <w:rPr>
          <w:rFonts w:hint="eastAsia" w:ascii="宋体" w:hAnsi="宋体" w:eastAsia="宋体" w:cs="宋体"/>
          <w:kern w:val="2"/>
          <w:sz w:val="24"/>
          <w:szCs w:val="24"/>
          <w:lang w:val="zh-CN" w:eastAsia="zh-CN" w:bidi="ar-SA"/>
        </w:rPr>
        <w:t>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7D77F850">
      <w:pPr>
        <w:keepNext w:val="0"/>
        <w:keepLines w:val="0"/>
        <w:pageBreakBefore w:val="0"/>
        <w:numPr>
          <w:ilvl w:val="0"/>
          <w:numId w:val="0"/>
        </w:numPr>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9</w:t>
      </w:r>
      <w:r>
        <w:rPr>
          <w:rFonts w:hint="eastAsia" w:ascii="宋体" w:hAnsi="宋体" w:eastAsia="宋体" w:cs="宋体"/>
          <w:kern w:val="2"/>
          <w:sz w:val="24"/>
          <w:szCs w:val="24"/>
          <w:lang w:val="zh-CN" w:eastAsia="zh-CN" w:bidi="ar-SA"/>
        </w:rPr>
        <w:t>、如货物属于国家强制性目录范围内的，则必须符合国家相关强制性要求。</w:t>
      </w:r>
    </w:p>
    <w:p w14:paraId="62276FCB">
      <w:pPr>
        <w:keepNext w:val="0"/>
        <w:keepLines w:val="0"/>
        <w:pageBreakBefore w:val="0"/>
        <w:kinsoku/>
        <w:wordWrap/>
        <w:overflowPunct/>
        <w:topLinePunct w:val="0"/>
        <w:autoSpaceDE/>
        <w:autoSpaceDN/>
        <w:bidi w:val="0"/>
        <w:spacing w:line="44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kern w:val="2"/>
          <w:sz w:val="24"/>
          <w:szCs w:val="24"/>
          <w:lang w:val="zh-CN" w:eastAsia="zh-CN" w:bidi="ar-SA"/>
        </w:rPr>
        <w:t>、验收：</w:t>
      </w:r>
    </w:p>
    <w:p w14:paraId="6574904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kern w:val="2"/>
          <w:sz w:val="24"/>
          <w:szCs w:val="24"/>
          <w:lang w:val="zh-CN" w:eastAsia="zh-CN" w:bidi="ar-SA"/>
        </w:rPr>
        <w:t>.1采购人和相关部门按照磋商文件和响应文件进行验收。磋商文件没有规定和响应文件没有相应承诺的，按照下列原则进行验收：有国家标准的按照国家标准验收，没有国家标准的按行业标准验收，无行业标准的按地方或企业标准验收，成交供应商予以配合。涉及需要由其他相关行业主管部门验收的项目，采购人须约请相关部门和专家参加项目验收。</w:t>
      </w:r>
    </w:p>
    <w:p w14:paraId="3929051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kern w:val="2"/>
          <w:sz w:val="24"/>
          <w:szCs w:val="24"/>
          <w:lang w:val="zh-CN" w:eastAsia="zh-CN" w:bidi="ar-SA"/>
        </w:rPr>
        <w:t>.2、采购人及相关行业主管部门对项目进行全面的验收，对验收中暴露出来的问题，成交供应商应及时进行整改，整改后仍达不到验收标准的，采购人有权取消成交供应商资格。</w:t>
      </w:r>
    </w:p>
    <w:p w14:paraId="7629E2E7">
      <w:pPr>
        <w:pStyle w:val="35"/>
        <w:keepNext w:val="0"/>
        <w:keepLines w:val="0"/>
        <w:pageBreakBefore w:val="0"/>
        <w:widowControl w:val="0"/>
        <w:kinsoku/>
        <w:wordWrap/>
        <w:overflowPunct/>
        <w:topLinePunct w:val="0"/>
        <w:bidi w:val="0"/>
        <w:snapToGrid/>
        <w:spacing w:beforeAutospacing="0" w:after="0" w:afterAutospacing="0" w:line="440" w:lineRule="exact"/>
        <w:ind w:left="0" w:leftChars="0" w:right="0" w:rightChars="0" w:firstLine="420" w:firstLineChars="175"/>
        <w:jc w:val="both"/>
        <w:textAlignment w:val="auto"/>
        <w:rPr>
          <w:rFonts w:hint="default"/>
          <w:lang w:val="en-US" w:eastAsia="zh-CN"/>
        </w:rPr>
      </w:pPr>
      <w:r>
        <w:rPr>
          <w:rFonts w:hint="eastAsia" w:ascii="宋体" w:hAnsi="宋体" w:eastAsia="宋体" w:cs="宋体"/>
          <w:kern w:val="2"/>
          <w:sz w:val="24"/>
          <w:szCs w:val="24"/>
          <w:lang w:val="en-US" w:eastAsia="zh-CN" w:bidi="ar-SA"/>
        </w:rPr>
        <w:t>13、</w:t>
      </w:r>
      <w:r>
        <w:rPr>
          <w:rFonts w:hint="eastAsia" w:ascii="宋体" w:hAnsi="宋体" w:eastAsia="宋体" w:cs="宋体"/>
          <w:kern w:val="2"/>
          <w:sz w:val="24"/>
          <w:szCs w:val="24"/>
          <w:lang w:val="zh-CN" w:eastAsia="zh-CN" w:bidi="ar-SA"/>
        </w:rPr>
        <w:t>本项目本项目总</w:t>
      </w:r>
      <w:r>
        <w:rPr>
          <w:rFonts w:hint="eastAsia" w:ascii="宋体" w:hAnsi="宋体" w:eastAsia="宋体" w:cs="宋体"/>
          <w:kern w:val="2"/>
          <w:sz w:val="24"/>
          <w:szCs w:val="24"/>
          <w:lang w:val="en-US" w:eastAsia="zh-CN" w:bidi="ar-SA"/>
        </w:rPr>
        <w:t>报</w:t>
      </w:r>
      <w:r>
        <w:rPr>
          <w:rFonts w:hint="eastAsia" w:ascii="宋体" w:hAnsi="宋体" w:eastAsia="宋体" w:cs="宋体"/>
          <w:kern w:val="2"/>
          <w:sz w:val="24"/>
          <w:szCs w:val="24"/>
          <w:lang w:val="zh-CN" w:eastAsia="zh-CN" w:bidi="ar-SA"/>
        </w:rPr>
        <w:t>价包含履行本项目的全部费用（包含软件产品授权费用、硬件设备费用、系统部署、安装调试费用、接口开发费用（与HIS、LIS、PACS、EMR等系统对接）、培训费用、质保期内的运维服务</w:t>
      </w:r>
      <w:r>
        <w:rPr>
          <w:rFonts w:hint="eastAsia" w:ascii="宋体" w:hAnsi="宋体" w:eastAsia="宋体" w:cs="宋体"/>
          <w:kern w:val="2"/>
          <w:sz w:val="24"/>
          <w:szCs w:val="24"/>
          <w:lang w:val="en-US" w:eastAsia="zh-CN" w:bidi="ar-SA"/>
        </w:rPr>
        <w:t>等费用</w:t>
      </w:r>
      <w:r>
        <w:rPr>
          <w:rFonts w:hint="eastAsia" w:ascii="宋体" w:hAnsi="宋体" w:eastAsia="宋体" w:cs="宋体"/>
          <w:kern w:val="2"/>
          <w:sz w:val="24"/>
          <w:szCs w:val="24"/>
          <w:lang w:val="zh-CN" w:eastAsia="zh-CN" w:bidi="ar-SA"/>
        </w:rPr>
        <w:t>），及所有价内价外税金及合理利润等。</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E2D672C-2DD1-41F8-8B30-ECAB8ADE814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2" w:fontKey="{C31558D9-E6A6-4EC8-8C65-FB7EC8FF7206}"/>
  </w:font>
  <w:font w:name="仿宋">
    <w:panose1 w:val="02010609060101010101"/>
    <w:charset w:val="86"/>
    <w:family w:val="auto"/>
    <w:pitch w:val="default"/>
    <w:sig w:usb0="800002BF" w:usb1="38CF7CFA" w:usb2="00000016" w:usb3="00000000" w:csb0="00040001" w:csb1="00000000"/>
    <w:embedRegular r:id="rId3" w:fontKey="{AC593F0F-BC8B-4711-897F-2F76DB4E5F8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364BD"/>
    <w:rsid w:val="075D1E8C"/>
    <w:rsid w:val="0AC31E74"/>
    <w:rsid w:val="0C831895"/>
    <w:rsid w:val="0D4234FE"/>
    <w:rsid w:val="0EAD100E"/>
    <w:rsid w:val="0ECD225B"/>
    <w:rsid w:val="13B54A2A"/>
    <w:rsid w:val="14CC12C4"/>
    <w:rsid w:val="174F5136"/>
    <w:rsid w:val="17875A15"/>
    <w:rsid w:val="18371EB1"/>
    <w:rsid w:val="19ED1940"/>
    <w:rsid w:val="1B096E5A"/>
    <w:rsid w:val="20DB1848"/>
    <w:rsid w:val="22BC150E"/>
    <w:rsid w:val="23377209"/>
    <w:rsid w:val="271E795E"/>
    <w:rsid w:val="28597DF9"/>
    <w:rsid w:val="2A471FEB"/>
    <w:rsid w:val="2A6917DD"/>
    <w:rsid w:val="30E275E8"/>
    <w:rsid w:val="31794E91"/>
    <w:rsid w:val="33084527"/>
    <w:rsid w:val="340A6274"/>
    <w:rsid w:val="35B929BB"/>
    <w:rsid w:val="36392E40"/>
    <w:rsid w:val="38C56C0D"/>
    <w:rsid w:val="395B7F03"/>
    <w:rsid w:val="395D23A4"/>
    <w:rsid w:val="3FC945CA"/>
    <w:rsid w:val="421A00E8"/>
    <w:rsid w:val="46F970CC"/>
    <w:rsid w:val="4968026A"/>
    <w:rsid w:val="4CC7027B"/>
    <w:rsid w:val="510026A9"/>
    <w:rsid w:val="51951749"/>
    <w:rsid w:val="53ED5526"/>
    <w:rsid w:val="55471060"/>
    <w:rsid w:val="55B61960"/>
    <w:rsid w:val="55D16D7C"/>
    <w:rsid w:val="5771095A"/>
    <w:rsid w:val="66A852F5"/>
    <w:rsid w:val="66F66060"/>
    <w:rsid w:val="68701E42"/>
    <w:rsid w:val="6B297183"/>
    <w:rsid w:val="6BB97277"/>
    <w:rsid w:val="6F2A0C05"/>
    <w:rsid w:val="70661AF5"/>
    <w:rsid w:val="7706409E"/>
    <w:rsid w:val="78320EC2"/>
    <w:rsid w:val="78381BD3"/>
    <w:rsid w:val="79A20C2B"/>
    <w:rsid w:val="79CB70E8"/>
    <w:rsid w:val="79F9537D"/>
    <w:rsid w:val="7A2A56CD"/>
    <w:rsid w:val="7C3944B7"/>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Indent"/>
    <w:basedOn w:val="1"/>
    <w:next w:val="1"/>
    <w:unhideWhenUsed/>
    <w:qFormat/>
    <w:uiPriority w:val="99"/>
    <w:pPr>
      <w:spacing w:after="120"/>
      <w:ind w:left="420" w:leftChars="200"/>
    </w:pPr>
  </w:style>
  <w:style w:type="paragraph" w:styleId="6">
    <w:name w:val="Normal Indent"/>
    <w:basedOn w:val="1"/>
    <w:qFormat/>
    <w:uiPriority w:val="0"/>
    <w:pPr>
      <w:ind w:firstLine="420" w:firstLineChars="200"/>
    </w:pPr>
    <w:rPr>
      <w:kern w:val="0"/>
      <w:sz w:val="24"/>
      <w:szCs w:val="20"/>
    </w:rPr>
  </w:style>
  <w:style w:type="paragraph" w:styleId="7">
    <w:name w:val="annotation text"/>
    <w:basedOn w:val="1"/>
    <w:qFormat/>
    <w:uiPriority w:val="0"/>
    <w:pPr>
      <w:jc w:val="left"/>
    </w:pPr>
  </w:style>
  <w:style w:type="paragraph" w:styleId="8">
    <w:name w:val="Body Text"/>
    <w:basedOn w:val="1"/>
    <w:next w:val="1"/>
    <w:qFormat/>
    <w:uiPriority w:val="0"/>
    <w:pPr>
      <w:jc w:val="left"/>
    </w:pPr>
    <w:rPr>
      <w:rFonts w:ascii="Arial" w:hAnsi="Arial" w:eastAsia="黑体" w:cs="黑体"/>
      <w:b/>
      <w:sz w:val="32"/>
      <w:szCs w:val="22"/>
    </w:rPr>
  </w:style>
  <w:style w:type="paragraph" w:styleId="9">
    <w:name w:val="index 4"/>
    <w:basedOn w:val="1"/>
    <w:next w:val="1"/>
    <w:semiHidden/>
    <w:qFormat/>
    <w:uiPriority w:val="0"/>
    <w:pPr>
      <w:ind w:left="1260"/>
    </w:pPr>
  </w:style>
  <w:style w:type="paragraph" w:styleId="10">
    <w:name w:val="Body Text Indent 2"/>
    <w:basedOn w:val="1"/>
    <w:qFormat/>
    <w:uiPriority w:val="0"/>
    <w:pPr>
      <w:spacing w:after="120" w:line="480" w:lineRule="auto"/>
      <w:ind w:left="420" w:leftChars="200"/>
    </w:pPr>
    <w:rPr>
      <w:rFonts w:ascii="宋体"/>
      <w:sz w:val="32"/>
      <w:szCs w:val="22"/>
    </w:rPr>
  </w:style>
  <w:style w:type="paragraph" w:styleId="11">
    <w:name w:val="footer"/>
    <w:basedOn w:val="1"/>
    <w:qFormat/>
    <w:uiPriority w:val="0"/>
    <w:pPr>
      <w:tabs>
        <w:tab w:val="center" w:pos="4153"/>
        <w:tab w:val="right" w:pos="8306"/>
      </w:tabs>
      <w:snapToGrid w:val="0"/>
      <w:jc w:val="left"/>
    </w:pPr>
    <w:rPr>
      <w:sz w:val="18"/>
      <w:lang w:bidi="he-IL"/>
    </w:rPr>
  </w:style>
  <w:style w:type="paragraph" w:styleId="12">
    <w:name w:val="envelope return"/>
    <w:basedOn w:val="1"/>
    <w:qFormat/>
    <w:uiPriority w:val="0"/>
    <w:pPr>
      <w:adjustRightInd/>
    </w:pPr>
    <w:rPr>
      <w:rFonts w:ascii="Arial" w:hAnsi="Arial" w:cs="Times New Roman"/>
      <w:sz w:val="21"/>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2"/>
    <w:basedOn w:val="1"/>
    <w:next w:val="8"/>
    <w:qFormat/>
    <w:uiPriority w:val="0"/>
    <w:pPr>
      <w:spacing w:after="120" w:line="480" w:lineRule="auto"/>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黑体"/>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Title"/>
    <w:basedOn w:val="1"/>
    <w:next w:val="1"/>
    <w:link w:val="24"/>
    <w:qFormat/>
    <w:uiPriority w:val="0"/>
    <w:pPr>
      <w:spacing w:before="240" w:after="60"/>
      <w:outlineLvl w:val="0"/>
    </w:pPr>
    <w:rPr>
      <w:rFonts w:ascii="Cambria" w:hAnsi="Cambria"/>
      <w:b/>
      <w:bCs/>
      <w:sz w:val="32"/>
      <w:szCs w:val="32"/>
    </w:rPr>
  </w:style>
  <w:style w:type="paragraph" w:styleId="18">
    <w:name w:val="Body Text First Indent 2"/>
    <w:basedOn w:val="2"/>
    <w:unhideWhenUsed/>
    <w:qFormat/>
    <w:uiPriority w:val="0"/>
    <w:pPr>
      <w:ind w:firstLine="42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paragraph" w:customStyle="1" w:styleId="23">
    <w:name w:val="List Paragraph"/>
    <w:basedOn w:val="1"/>
    <w:qFormat/>
    <w:uiPriority w:val="0"/>
    <w:pPr>
      <w:ind w:firstLine="420" w:firstLineChars="200"/>
    </w:pPr>
  </w:style>
  <w:style w:type="character" w:customStyle="1" w:styleId="24">
    <w:name w:val="标题 Char"/>
    <w:link w:val="17"/>
    <w:qFormat/>
    <w:uiPriority w:val="0"/>
    <w:rPr>
      <w:rFonts w:ascii="Cambria" w:hAnsi="Cambria"/>
      <w:b/>
      <w:bCs/>
      <w:sz w:val="32"/>
      <w:szCs w:val="32"/>
    </w:rPr>
  </w:style>
  <w:style w:type="character" w:customStyle="1" w:styleId="25">
    <w:name w:val="font01"/>
    <w:basedOn w:val="21"/>
    <w:qFormat/>
    <w:uiPriority w:val="0"/>
    <w:rPr>
      <w:rFonts w:hint="eastAsia" w:ascii="宋体" w:hAnsi="宋体" w:eastAsia="宋体" w:cs="宋体"/>
      <w:color w:val="000000"/>
      <w:sz w:val="20"/>
      <w:szCs w:val="20"/>
      <w:u w:val="none"/>
    </w:rPr>
  </w:style>
  <w:style w:type="character" w:customStyle="1" w:styleId="26">
    <w:name w:val="font21"/>
    <w:basedOn w:val="21"/>
    <w:qFormat/>
    <w:uiPriority w:val="0"/>
    <w:rPr>
      <w:rFonts w:ascii="Arial" w:hAnsi="Arial" w:cs="Arial"/>
      <w:color w:val="000000"/>
      <w:sz w:val="20"/>
      <w:szCs w:val="20"/>
      <w:u w:val="none"/>
    </w:rPr>
  </w:style>
  <w:style w:type="character" w:customStyle="1" w:styleId="27">
    <w:name w:val="font11"/>
    <w:basedOn w:val="21"/>
    <w:qFormat/>
    <w:uiPriority w:val="0"/>
    <w:rPr>
      <w:rFonts w:hint="eastAsia" w:ascii="宋体" w:hAnsi="宋体" w:eastAsia="宋体" w:cs="宋体"/>
      <w:color w:val="000000"/>
      <w:sz w:val="18"/>
      <w:szCs w:val="18"/>
      <w:u w:val="none"/>
    </w:rPr>
  </w:style>
  <w:style w:type="character" w:customStyle="1" w:styleId="28">
    <w:name w:val="font31"/>
    <w:basedOn w:val="21"/>
    <w:qFormat/>
    <w:uiPriority w:val="0"/>
    <w:rPr>
      <w:rFonts w:hint="default" w:ascii="Arial" w:hAnsi="Arial" w:cs="Arial"/>
      <w:color w:val="000000"/>
      <w:sz w:val="18"/>
      <w:szCs w:val="18"/>
      <w:u w:val="none"/>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Table Text"/>
    <w:basedOn w:val="31"/>
    <w:semiHidden/>
    <w:qFormat/>
    <w:uiPriority w:val="0"/>
    <w:rPr>
      <w:rFonts w:ascii="宋体" w:hAnsi="宋体" w:eastAsia="宋体" w:cs="宋体"/>
      <w:sz w:val="28"/>
      <w:szCs w:val="28"/>
      <w:lang w:val="en-US" w:eastAsia="en-US" w:bidi="ar-SA"/>
    </w:rPr>
  </w:style>
  <w:style w:type="paragraph" w:customStyle="1" w:styleId="31">
    <w:name w:val="正文 New"/>
    <w:qFormat/>
    <w:uiPriority w:val="0"/>
    <w:pPr>
      <w:widowControl w:val="0"/>
      <w:autoSpaceDE w:val="0"/>
      <w:autoSpaceDN w:val="0"/>
      <w:adjustRightInd w:val="0"/>
      <w:spacing w:line="360" w:lineRule="auto"/>
    </w:pPr>
    <w:rPr>
      <w:rFonts w:ascii="Times New Roman" w:hAnsi="Times New Roman" w:eastAsia="宋体" w:cs="Times New Roman"/>
      <w:snapToGrid w:val="0"/>
      <w:szCs w:val="21"/>
      <w:lang w:val="en-US" w:eastAsia="zh-CN" w:bidi="ar-SA"/>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缺省文本"/>
    <w:basedOn w:val="1"/>
    <w:qFormat/>
    <w:uiPriority w:val="0"/>
    <w:pPr>
      <w:autoSpaceDE w:val="0"/>
      <w:autoSpaceDN w:val="0"/>
      <w:adjustRightInd w:val="0"/>
      <w:jc w:val="left"/>
    </w:pPr>
    <w:rPr>
      <w:kern w:val="0"/>
      <w:sz w:val="24"/>
      <w:szCs w:val="20"/>
    </w:rPr>
  </w:style>
  <w:style w:type="paragraph" w:customStyle="1" w:styleId="3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35">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36">
    <w:name w:val="正文文字2"/>
    <w:basedOn w:val="8"/>
    <w:qFormat/>
    <w:uiPriority w:val="0"/>
    <w:pPr>
      <w:adjustRightInd w:val="0"/>
      <w:spacing w:after="60" w:line="360" w:lineRule="atLeast"/>
      <w:ind w:left="72" w:leftChars="30" w:right="72" w:rightChars="30"/>
      <w:jc w:val="center"/>
    </w:pPr>
    <w:rPr>
      <w:rFonts w:hAnsi="Times New Roman" w:cs="Arial"/>
      <w:b w:val="0"/>
      <w:kern w:val="0"/>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4707</Words>
  <Characters>5068</Characters>
  <Lines>0</Lines>
  <Paragraphs>0</Paragraphs>
  <TotalTime>1</TotalTime>
  <ScaleCrop>false</ScaleCrop>
  <LinksUpToDate>false</LinksUpToDate>
  <CharactersWithSpaces>5074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2026-09-23T02:01:45Z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68256FD196C845FA99C1FFB0258BD82B_13</vt:lpwstr>
  </property>
  <property fmtid="{D5CDD505-2E9C-101B-9397-08002B2CF9AE}" pid="4" name="KSOTemplateDocerSaveRecord">
    <vt:lpwstr>eyJoZGlkIjoiNjVjOGUxODk1YzY2NTUxMWVjNzRmZDgxYTIzNjVjOGQiLCJ1c2VySWQiOiI1NTUzMTQ2MDYifQ==</vt:lpwstr>
  </property>
</Properties>
</file>