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20" w:lineRule="exact"/>
        <w:jc w:val="center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马鞍山市中医院电子血压计、特定电磁波治疗仪等一批小型设备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t>采购内容及相关要求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本项目供应商特定资格要求：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（1）供应商若为生产企业：所投产品为第二、三类医疗器械的，提供涵盖所投医疗器械的《医疗器械生产许可证》；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（2）供应商若为经营企业：所投产品为第二类医疗器械的，提供涵盖所投医疗器械的《医疗器械经营备案凭证》；所投产品为第三类医疗器械的，提供涵盖所投医疗器械的《医疗器械经营许可证》。</w:t>
      </w:r>
    </w:p>
    <w:p>
      <w:pPr>
        <w:ind w:firstLine="562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一、</w:t>
      </w:r>
      <w:r>
        <w:rPr>
          <w:rFonts w:hint="eastAsia" w:ascii="宋体" w:hAnsi="宋体"/>
          <w:b/>
          <w:sz w:val="28"/>
          <w:szCs w:val="28"/>
        </w:rPr>
        <w:t>采购清单</w:t>
      </w:r>
      <w:bookmarkStart w:id="0" w:name="_GoBack"/>
      <w:bookmarkEnd w:id="0"/>
    </w:p>
    <w:tbl>
      <w:tblPr>
        <w:tblStyle w:val="6"/>
        <w:tblW w:w="67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449"/>
        <w:gridCol w:w="1185"/>
        <w:gridCol w:w="675"/>
        <w:gridCol w:w="1680"/>
        <w:gridCol w:w="1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电子血压计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电子针疗仪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水银血压计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压缩空气式雾化器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指脉氧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钢制陪护椅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气垫床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不锈钢检查床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特定电磁波治疗器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床头柜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体温枪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浮标式氧气吸入器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听诊器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氧气吸入器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单管袖带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墙式负压 吸引器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双管袖带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紫外线消毒车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血压计球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</w:tbl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Times New Roman"/>
          <w:b/>
          <w:bCs w:val="0"/>
          <w:kern w:val="2"/>
          <w:sz w:val="28"/>
          <w:szCs w:val="28"/>
          <w:lang w:val="en-US" w:eastAsia="zh-CN" w:bidi="ar-SA"/>
        </w:rPr>
        <w:t>二、技术要求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电子血压计：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4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4"/>
          <w:szCs w:val="24"/>
        </w:rPr>
        <w:t>显示方式：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LCD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4"/>
          <w:szCs w:val="24"/>
        </w:rPr>
        <w:t xml:space="preserve"> 数字显示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9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9"/>
          <w:sz w:val="24"/>
          <w:szCs w:val="24"/>
        </w:rPr>
        <w:t>测量方法：示波测定法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3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4"/>
          <w:szCs w:val="24"/>
        </w:rPr>
        <w:t>测量范围：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4"/>
          <w:szCs w:val="24"/>
        </w:rPr>
        <w:t>压力测量范围：0-300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mmHg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4"/>
          <w:szCs w:val="24"/>
        </w:rPr>
        <w:t>(0~40.0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kPa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4"/>
          <w:szCs w:val="24"/>
        </w:rPr>
        <w:t>)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4"/>
          <w:szCs w:val="24"/>
        </w:rPr>
        <w:t>脉率：40-200次/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mln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8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</w:rPr>
        <w:t>精度：压力：±3mmHg(±0.4kPa)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</w:rPr>
        <w:t>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</w:rPr>
        <w:t>内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4"/>
          <w:szCs w:val="24"/>
        </w:rPr>
        <w:t>脉率：读数的±5%以内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5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0"/>
          <w:sz w:val="24"/>
          <w:szCs w:val="24"/>
        </w:rPr>
        <w:t>运行模式分类：连续运行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1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6"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6"/>
          <w:sz w:val="24"/>
          <w:szCs w:val="24"/>
        </w:rPr>
        <w:t>电气安全分类：内部电源供电设备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2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8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8"/>
          <w:sz w:val="24"/>
          <w:szCs w:val="24"/>
        </w:rPr>
        <w:t>压力传感器：半导体式压力传感器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9"/>
          <w:sz w:val="24"/>
          <w:szCs w:val="24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9"/>
          <w:sz w:val="24"/>
          <w:szCs w:val="24"/>
        </w:rPr>
        <w:t>加压方式：压力泵自动加压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5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8"/>
          <w:sz w:val="24"/>
          <w:szCs w:val="24"/>
          <w:lang w:val="en-US" w:eastAsia="zh-CN"/>
        </w:rPr>
        <w:t>9、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8"/>
          <w:sz w:val="24"/>
          <w:szCs w:val="24"/>
        </w:rPr>
        <w:t>排气方式：自动快速排气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水银血压计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产品用途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适用范围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结构及组成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适用范围：供测量人体血压用。台式血压计主要由上盖部件、汞瓶部件、底壳部件、臂带部件和气球部件组成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主要性能指标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测量范围 0kPa~40kPa(0mmHg~300mmHg)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最小分度值为 0.5kPa(2mmHg)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最大允许误差为±0.5kPa(±3.75mmHg)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指脉氧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1、血氧饱和度 ：显示/测量范围：0%～100%，分辨率：1%。 测量误差：在70%～100%范围内测量误差为±2%； 低于70%，测量误差不予定义。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2、脉率显示/测量范围：25bpm～250bpm，分辨率：1bpm 测量误差：±1%或±1bpm，二者中较大者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、测量数据更新周期小于30秒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096" w:firstLineChars="17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气垫床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产品由气热、充气泵和导气管组成，其中气垫由气室、整布和气道连接管组成，条形气室与热布米用四合扣连接。充气泵主要由外壳，压力调节开关、气泵、同步电机、气道转换器、集成线路板、熔断器人座等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2.用于长期卧床患者预防和缓解褥疮。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3.充放气性能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3.1.1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最大充气气压应不小于12kPa,充气气压可在0至最大充气气压之间调节。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3.1.2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充放气周期：每次充气5min,放气5min,每10 min为一周期循环往复，充放气时间误差±10%。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3.1.3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喷气功能在充气气压达到3kPa±0.5kPa时，气室上的微孔能均匀排出气体。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3.1.4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睡眠功能将充气泵的调节旋钮旋转至睡眠状态时，气床垫停止波动，保持静止状态。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3.2、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快速放气功能：CPR抢救时可实现快速放气。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、侧身角度:&lt;75°。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、气密性：当气床垫充气至最大气压时，承载1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kg、历时24h,其最大压力的压力降不大于5%。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、工作噪声：不大于45dB。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、连续工作时间：不小于24h。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、工作载荷：不小于1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kg。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特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电磁波治疗仪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1、治疗板的直径：150±30mm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2、电源输入：AC 220V  50Hz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3、波普范围：2-25微米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4、机械定时范围：0-60分钟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治疗板有效使用期限：1000小时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5、治疗板与加热器之间使用陶瓷绝缘板，符合电器安全标准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6、电源线穿过方管处设有全方位的过线保护套：防止了电线被割断的危险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7、电源盒上设置了电源开关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8、设有防倾倒开关符合电的安全标准，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9、设有双面通电、工作指示灯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10、仪器立杆具有升降功能，设有升降锁，立杆穿过电源盒，升降过程中电源盒不受力，升降范围至少可升降调节50厘米及以上。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11、脚铁制五角折合脚架，脚轮中有带刹车脚轮，脚架可折叠收缩。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12.立式大治疗头。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13.治疗器高度：140厘米及以上。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14.治疗头旋转角度：360℃。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轮椅车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1、座位宽度：臀部的宽度，355mm-600mm±50mm。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、脚板高度：脚板距地面5cm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、扶手：固定式扶手,扶手垫采用优质皮革面料，内衬优质高密度海绵。易清洁，舒适度好扶手高度：225cm-270cm。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、座位深度：座位深度一般为40cm-43cm。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、车架：采用高强度钢管焊接而成，CO2焊接，强度高，焊接处不宜断裂。表面采用喷涂处理，耐腐蚀，不生锈，美观耐用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、椅面材质有：皮面。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轮胎材质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实心胎（带手刹）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napToGrid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浮标式氧气吸入器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国标接口，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由氧气瓶连接口、减压阀、安全阀、氧气压力表、流量管、流量调节阀、氧气输出接口组成。不包括氧气输出端与雾化装置连用、提供附加雾化药液功能的氧气吸入器；不含湿化装置。非无菌产品。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2.用于急救给氧和缺氧病人氧气吸入。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3.流量范围：1-15L/min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4.流量误差≤最大示值的±4%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5.安全阀动作压力：0.35±0.05Mpa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墙式氧气吸入器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国标接口，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医用氧气湿化器由氧气吸入器、湿化瓶组件组成。湿化瓶组件由起泡器、湿化瓶体、瓶盖（含气体输入口、气体输出口、安全阀）组成；氧气吸入器为浮标式氧气吸入器或供氧系统氧气吸入器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用于湿化输送给患者的呼吸气体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606266"/>
          <w:spacing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流量范围‌：1-15L/min，基本误差为最大示值的 ±4% ‌‌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‌输出压力‌：减压后维持在 0.20–0.30 MPa ‌‌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‌安全阀启动压力‌：0.35 MPa ± 0.05 MPa 时自动排气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‌‌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墙式负压吸引器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国标接口，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产品适合范围：主要用于医用中心吸引系统，供医疗单位作吸脓、血、痰及分泌物等用，主要在负压下工作。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2.吸引器的气压应能在-0.07~0Mpa范围内任意调节，气最大流量不小于2.5L/min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3.瓶体在不大于-0.07Mpa负压作用下，不应产生吸瘪或变形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4.当吸液至瓶体最大刻度标定容量时，浮子应封住吸引口，自动停止吸引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5.吸引器与起源接头连接不应有泄漏现象。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080" w:firstLineChars="17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紫外线消毒车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1、工作条件：电源220V±22V 50HZ±1HZ，环境温度5-40℃，相对湿度：≤80%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2、紫外线辐射波长：253.7nm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3、主要杀菌因子：紫外线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4、单支紫外线灯功率：30W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5、紫外线灯管平均寿命：≥5000h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vertAlign w:val="superscript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6、适用面积：≤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0m</w:t>
      </w:r>
      <w:r>
        <w:rPr>
          <w:rFonts w:hint="eastAsia" w:asciiTheme="minorEastAsia" w:hAnsiTheme="minorEastAsia" w:eastAsiaTheme="minorEastAsia" w:cstheme="minorEastAsia"/>
          <w:sz w:val="24"/>
          <w:szCs w:val="24"/>
          <w:vertAlign w:val="superscript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7、消毒定时范围：0-120分钟，其最大定时误差&lt;15min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8、消毒车使用的紫外线灯管符合GB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/T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19258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-20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2的规定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对灯管正下方垂直1m处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载体上金黄色葡萄球菌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大肠杆菌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铜绿假单胞菌作用60min杀灭对数值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＞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3.0，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对灯管正下方垂直1m处,载体上枯草杆菌黑色变种芽胞作用90min的杀灭对数值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＞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3.0，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对灯管正下方垂直1m处,载体上自然菌作用60min的杀灭对数值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＞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1.0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highlight w:val="none"/>
          <w:lang w:val="en-US" w:eastAsia="zh-CN"/>
        </w:rPr>
        <w:t>（提供检测报告）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紫外线灯管开启20分钟后，其辐照强度为（垂直正下方1m处）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139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μw/cm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vertAlign w:val="superscript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-142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μw/cm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vertAlign w:val="superscript"/>
        </w:rPr>
        <w:t>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vertAlign w:val="superscript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紫外线灯管开启后60分钟内，其辐照强度为（垂直正下方1m处）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141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μw/cm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vertAlign w:val="superscript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-144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μw/cm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vertAlign w:val="superscript"/>
        </w:rPr>
        <w:t>2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（提供检测报告）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电子针疗仪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输出功率:10.0VA,输出电流限值:≤10mmA,输出脉冲波形: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非对称双向脉冲波，输出直流分量0mA，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输出脉冲路数: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不少于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六路输出，输出脉冲宽度0.2ms,最大输出功率:0.3V。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工作模式:连续波工作模式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压缩空气式雾化器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Style w:val="8"/>
          <w:rFonts w:hint="eastAsia" w:asciiTheme="minorEastAsia" w:hAnsiTheme="minorEastAsia" w:eastAsiaTheme="minorEastAsia" w:cstheme="minorEastAsia"/>
          <w:sz w:val="24"/>
          <w:szCs w:val="24"/>
          <w:lang w:val="en-US" w:eastAsia="zh-CN" w:bidi="ar"/>
        </w:rPr>
        <w:t>1、输入电压: ~220V±10%，频率: 50Hz</w:t>
      </w:r>
      <w:r>
        <w:rPr>
          <w:rStyle w:val="9"/>
          <w:rFonts w:hint="eastAsia" w:asciiTheme="minorEastAsia" w:hAnsiTheme="minorEastAsia" w:eastAsiaTheme="minorEastAsia" w:cstheme="minorEastAsia"/>
          <w:sz w:val="24"/>
          <w:szCs w:val="24"/>
          <w:lang w:val="en-US" w:eastAsia="zh-CN" w:bidi="ar"/>
        </w:rPr>
        <w:t>±</w:t>
      </w:r>
      <w:r>
        <w:rPr>
          <w:rStyle w:val="8"/>
          <w:rFonts w:hint="eastAsia" w:asciiTheme="minorEastAsia" w:hAnsiTheme="minorEastAsia" w:eastAsiaTheme="minorEastAsia" w:cstheme="minorEastAsia"/>
          <w:sz w:val="24"/>
          <w:szCs w:val="24"/>
          <w:lang w:val="en-US" w:eastAsia="zh-CN" w:bidi="ar"/>
        </w:rPr>
        <w:t>1Hz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2、额定电压：~220V，额定频率：50HZ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3、最大雾化率:≥0.2mL/min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4、药液残留量:≤1.0mL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8"/>
          <w:rFonts w:hint="eastAsia" w:asciiTheme="minorEastAsia" w:hAnsiTheme="minorEastAsia" w:eastAsiaTheme="minorEastAsia" w:cstheme="minorEastAsia"/>
          <w:sz w:val="24"/>
          <w:szCs w:val="24"/>
          <w:lang w:val="en-US" w:eastAsia="zh-CN" w:bidi="ar"/>
        </w:rPr>
      </w:pPr>
      <w:r>
        <w:rPr>
          <w:rStyle w:val="8"/>
          <w:rFonts w:hint="eastAsia" w:asciiTheme="minorEastAsia" w:hAnsiTheme="minorEastAsia" w:eastAsiaTheme="minorEastAsia" w:cstheme="minorEastAsia"/>
          <w:sz w:val="24"/>
          <w:szCs w:val="24"/>
          <w:lang w:val="en-US" w:eastAsia="zh-CN" w:bidi="ar"/>
        </w:rPr>
        <w:t>5、雾粒中位粒径: 3.9μmt±25%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8"/>
          <w:rFonts w:hint="eastAsia" w:asciiTheme="minorEastAsia" w:hAnsiTheme="minorEastAsia" w:eastAsiaTheme="minorEastAsia" w:cstheme="minorEastAsia"/>
          <w:sz w:val="24"/>
          <w:szCs w:val="24"/>
          <w:lang w:val="en-US" w:eastAsia="zh-CN" w:bidi="ar"/>
        </w:rPr>
      </w:pPr>
      <w:r>
        <w:rPr>
          <w:rStyle w:val="8"/>
          <w:rFonts w:hint="eastAsia" w:asciiTheme="minorEastAsia" w:hAnsiTheme="minorEastAsia" w:eastAsiaTheme="minorEastAsia" w:cstheme="minorEastAsia"/>
          <w:sz w:val="24"/>
          <w:szCs w:val="24"/>
          <w:lang w:val="en-US" w:eastAsia="zh-CN" w:bidi="ar"/>
        </w:rPr>
        <w:t>6.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雾化器所产生的压力范围:正常工作条件下，雾化器所产生的压力范围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0.08~ 0.15MPa，当雾化器发生异常情况，雾化器所产生的最大压力范围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0.15~ 0.40MPa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7、自由空气流量：≥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L/min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8.按进液防护程度分类：IPX0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钢制陪护椅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产品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参考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规格：600×610×1800mm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技术参数：主框架采用Φ38×1.5mm、Φ25×1.5mm钢制圆管经弯曲焊接而成，陪护椅由座框、背框、腿框三部分组成，涂料有防菌作用。背框、座框、腿框面板由高密度海绵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、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木工板及人造革包覆而成。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不锈钢检查床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产品名称：不锈检查床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产品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参考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规格：1850×600×670mm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3.产品材质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：按摩床主框架使用50×25×1.5㎜的不锈钢方管焊接制成,床腿使用50×50×1.5㎜的不锈钢方管整体焊接制成， 检查床床面采用厚度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不少于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12mm的木工板、阻然高弹海绵和PU皮包覆而成。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ABS床头柜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参考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规格：480×480×760mm；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2.材质：整体采用ABS工程塑料材料经注塑成型。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3.承重：立体承重≥60KG，侧面承重≥30KG。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4.功能：一柜一屉；配有隐藏式毛巾架、隐藏式杂物挂钩、抽拉式餐桌板（托物板），柜内有可活动层板。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体温枪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结构及组成：红外测温仪由红外传感器、信号接受处理器、COB板、蜂鸣器、液晶显示屏。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测量范围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人体模式:32.℃~43℃，分辨率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0.1℃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测量地点：室内，32.0℃-34.9℃,最大允许误差±0.3℃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准确度 35.0℃-42.0℃,最大允许误差±02℃，42.1℃-42.9℃C,最大允许误差±0.3℃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记忆：本机可记录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不少于5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组历史数据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听诊器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全铜听头，耳环三通采用优质铜材制造；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导管采用PVC增弹塑料，弹簧片采用弹簧钢制成；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单管袖带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气囊长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22-26cm，宽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12cm。适用于大多数成年人（臂围约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22-32cm）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袖带可重复使用且耐受医院常规消毒剂擦拭清洗。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双管袖带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气囊长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22-26cm，宽 12cm。适用于大多数成年人（臂围约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22-32cm）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袖带可重复使用且耐受医院常规消毒剂擦拭清洗。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val="en-US" w:eastAsia="zh-CN"/>
        </w:rPr>
        <w:t>血压计球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val="en-US" w:eastAsia="zh-CN"/>
        </w:rPr>
        <w:t>用于水银血压计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val="en-US" w:eastAsia="zh-CN"/>
        </w:rPr>
        <w:t>充气使用</w:t>
      </w:r>
    </w:p>
    <w:p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pacing w:line="410" w:lineRule="exact"/>
        <w:jc w:val="center"/>
        <w:textAlignment w:val="auto"/>
        <w:outlineLvl w:val="2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三、</w:t>
      </w:r>
      <w:r>
        <w:rPr>
          <w:rFonts w:hint="eastAsia"/>
          <w:b/>
          <w:sz w:val="28"/>
          <w:szCs w:val="28"/>
        </w:rPr>
        <w:t>商务要求</w:t>
      </w:r>
    </w:p>
    <w:p>
      <w:pPr>
        <w:keepNext w:val="0"/>
        <w:keepLines w:val="0"/>
        <w:pageBreakBefore w:val="0"/>
        <w:widowControl w:val="0"/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pacing w:line="410" w:lineRule="exact"/>
        <w:jc w:val="center"/>
        <w:textAlignment w:val="auto"/>
        <w:outlineLvl w:val="2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（本项目商务要求为不允许负偏离的实质性要求和条件）</w:t>
      </w:r>
    </w:p>
    <w:p>
      <w:pPr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adjustRightInd/>
        <w:spacing w:line="41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1、所有货物（包括零部件）须为全新的、未使用过的原装正品。提交货物的技术参数和配置应与</w:t>
      </w:r>
      <w:r>
        <w:rPr>
          <w:rFonts w:hint="eastAsia" w:ascii="宋体" w:hAnsi="宋体"/>
          <w:sz w:val="24"/>
          <w:lang w:eastAsia="zh-CN"/>
        </w:rPr>
        <w:t>磋商文件</w:t>
      </w:r>
      <w:r>
        <w:rPr>
          <w:rFonts w:hint="eastAsia" w:ascii="宋体" w:hAnsi="宋体"/>
          <w:sz w:val="24"/>
        </w:rPr>
        <w:t>的要求及其</w:t>
      </w:r>
      <w:r>
        <w:rPr>
          <w:rFonts w:hint="eastAsia" w:ascii="宋体" w:hAnsi="宋体"/>
          <w:sz w:val="24"/>
          <w:lang w:eastAsia="zh-CN"/>
        </w:rPr>
        <w:t>响应文件</w:t>
      </w:r>
      <w:r>
        <w:rPr>
          <w:rFonts w:hint="eastAsia" w:ascii="宋体" w:hAnsi="宋体"/>
          <w:sz w:val="24"/>
        </w:rPr>
        <w:t>的技术响应表（如果被</w:t>
      </w:r>
      <w:r>
        <w:rPr>
          <w:rFonts w:hint="eastAsia" w:ascii="宋体" w:hAnsi="宋体"/>
          <w:sz w:val="24"/>
          <w:lang w:eastAsia="zh-CN"/>
        </w:rPr>
        <w:t>磋商小组</w:t>
      </w:r>
      <w:r>
        <w:rPr>
          <w:rFonts w:hint="eastAsia" w:ascii="宋体" w:hAnsi="宋体"/>
          <w:sz w:val="24"/>
        </w:rPr>
        <w:t>接受的话）相一致。若</w:t>
      </w:r>
      <w:r>
        <w:rPr>
          <w:rFonts w:hint="eastAsia" w:ascii="宋体" w:hAnsi="宋体"/>
          <w:sz w:val="24"/>
          <w:lang w:eastAsia="zh-CN"/>
        </w:rPr>
        <w:t>磋商文件</w:t>
      </w:r>
      <w:r>
        <w:rPr>
          <w:rFonts w:hint="eastAsia" w:ascii="宋体" w:hAnsi="宋体"/>
          <w:sz w:val="24"/>
        </w:rPr>
        <w:t>及</w:t>
      </w:r>
      <w:r>
        <w:rPr>
          <w:rFonts w:hint="eastAsia" w:ascii="宋体" w:hAnsi="宋体"/>
          <w:sz w:val="24"/>
          <w:lang w:eastAsia="zh-CN"/>
        </w:rPr>
        <w:t>响应文件</w:t>
      </w:r>
      <w:r>
        <w:rPr>
          <w:rFonts w:hint="eastAsia" w:ascii="宋体" w:hAnsi="宋体"/>
          <w:sz w:val="24"/>
        </w:rPr>
        <w:t>中无相应说明，则以国家有关部门最新颁布的相应标准及规范为准。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10" w:lineRule="exact"/>
        <w:ind w:firstLine="480" w:firstLineChars="200"/>
        <w:textAlignment w:val="auto"/>
        <w:rPr>
          <w:rFonts w:hint="eastAsia" w:ascii="宋体" w:hAnsi="宋体" w:eastAsia="宋体" w:cs="Times New Roman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>2、所有货物必须符合国家相关强制性要求。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10" w:lineRule="exact"/>
        <w:ind w:firstLine="482" w:firstLineChars="200"/>
        <w:textAlignment w:val="auto"/>
        <w:rPr>
          <w:rFonts w:hint="eastAsia" w:ascii="宋体" w:hAnsi="宋体" w:cs="Times New Roman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/>
          <w:sz w:val="24"/>
          <w:highlight w:val="none"/>
          <w:lang w:val="en-US" w:eastAsia="zh-CN"/>
        </w:rPr>
        <w:t>2.1供应商须在响应文件中提供</w:t>
      </w:r>
      <w:r>
        <w:rPr>
          <w:rFonts w:hint="eastAsia" w:ascii="宋体" w:hAnsi="宋体" w:eastAsia="宋体" w:cs="Times New Roman"/>
          <w:b/>
          <w:bCs/>
          <w:sz w:val="24"/>
          <w:highlight w:val="none"/>
          <w:lang w:val="en-US" w:eastAsia="zh-CN"/>
        </w:rPr>
        <w:t>所报医疗器械符合以下条件之一的相应材料，</w:t>
      </w:r>
      <w:r>
        <w:rPr>
          <w:rFonts w:hint="eastAsia" w:ascii="宋体" w:hAnsi="宋体" w:cs="Times New Roman"/>
          <w:b/>
          <w:bCs/>
          <w:sz w:val="24"/>
          <w:highlight w:val="none"/>
          <w:lang w:val="en-US" w:eastAsia="zh-CN"/>
        </w:rPr>
        <w:t>否则视为商务要求未完全响应：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10" w:lineRule="exact"/>
        <w:ind w:firstLine="480" w:firstLineChars="200"/>
        <w:textAlignment w:val="auto"/>
        <w:rPr>
          <w:rFonts w:hint="eastAsia" w:ascii="宋体" w:hAnsi="宋体" w:eastAsia="宋体"/>
          <w:sz w:val="24"/>
          <w:highlight w:val="yellow"/>
          <w:lang w:val="en-US" w:eastAsia="zh-CN"/>
        </w:rPr>
      </w:pPr>
      <w:r>
        <w:rPr>
          <w:rFonts w:hint="eastAsia" w:ascii="宋体" w:hAnsi="宋体" w:eastAsia="宋体"/>
          <w:sz w:val="24"/>
          <w:highlight w:val="yellow"/>
          <w:lang w:val="en-US" w:eastAsia="zh-CN"/>
        </w:rPr>
        <w:t>（1）条件一：所报产品为第二、三类医疗器械的，提供所报医疗器械的医疗器械注册证扫描件（在有效期内）；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10" w:lineRule="exact"/>
        <w:ind w:firstLine="480" w:firstLineChars="200"/>
        <w:textAlignment w:val="auto"/>
        <w:rPr>
          <w:rFonts w:hint="eastAsia" w:ascii="宋体" w:hAnsi="宋体" w:eastAsia="宋体" w:cs="Times New Roman"/>
          <w:sz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highlight w:val="yellow"/>
          <w:lang w:val="en-US" w:eastAsia="zh-CN"/>
        </w:rPr>
        <w:t>（2）条件二：所报产品为第一类医疗器械的，提供所报医疗器械的第一类医疗器械备案信息证明材料扫描件。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1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产品质保期、服务期</w:t>
      </w:r>
      <w:r>
        <w:rPr>
          <w:rFonts w:hint="eastAsia" w:ascii="宋体" w:hAnsi="宋体"/>
          <w:sz w:val="24"/>
        </w:rPr>
        <w:t xml:space="preserve">及售后服务：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10" w:lineRule="exact"/>
        <w:ind w:firstLine="480" w:firstLineChars="200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highlight w:val="yellow"/>
          <w:lang w:val="en-US" w:eastAsia="zh-CN"/>
        </w:rPr>
        <w:t>3</w:t>
      </w:r>
      <w:r>
        <w:rPr>
          <w:rFonts w:hint="eastAsia" w:ascii="宋体" w:hAnsi="宋体"/>
          <w:sz w:val="24"/>
          <w:highlight w:val="yellow"/>
        </w:rPr>
        <w:t>.</w:t>
      </w:r>
      <w:r>
        <w:rPr>
          <w:rFonts w:hint="eastAsia" w:ascii="宋体" w:hAnsi="宋体"/>
          <w:sz w:val="24"/>
          <w:highlight w:val="yellow"/>
          <w:lang w:val="en-US" w:eastAsia="zh-CN"/>
        </w:rPr>
        <w:t>1产品质保期：成交供应商须提供产品</w:t>
      </w:r>
      <w:r>
        <w:rPr>
          <w:rFonts w:hint="eastAsia" w:ascii="宋体" w:hAnsi="宋体"/>
          <w:color w:val="FF0000"/>
          <w:sz w:val="24"/>
          <w:highlight w:val="yellow"/>
          <w:u w:val="single"/>
          <w:lang w:val="en-US" w:eastAsia="zh-CN"/>
        </w:rPr>
        <w:t>至少1年</w:t>
      </w:r>
      <w:r>
        <w:rPr>
          <w:rFonts w:hint="eastAsia" w:ascii="宋体" w:hAnsi="宋体"/>
          <w:sz w:val="24"/>
          <w:highlight w:val="yellow"/>
          <w:lang w:val="en-US" w:eastAsia="zh-CN"/>
        </w:rPr>
        <w:t>的质保期（自验收合格之日起计算），质保期内出现质量问题（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yellow"/>
          <w:lang w:val="en-US" w:eastAsia="zh-CN"/>
        </w:rPr>
        <w:t>含易损件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）</w:t>
      </w:r>
      <w:r>
        <w:rPr>
          <w:rFonts w:hint="eastAsia" w:ascii="宋体" w:hAnsi="宋体"/>
          <w:sz w:val="24"/>
          <w:highlight w:val="yellow"/>
          <w:lang w:val="en-US" w:eastAsia="zh-CN"/>
        </w:rPr>
        <w:t>，成交供应商负责包修、包退、包换，所有质保费用均已包含在总报价中</w:t>
      </w:r>
      <w:r>
        <w:rPr>
          <w:rFonts w:hint="eastAsia" w:ascii="宋体" w:hAnsi="宋体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1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3</w:t>
      </w:r>
      <w:r>
        <w:rPr>
          <w:rFonts w:hint="eastAsia" w:ascii="宋体" w:hAnsi="宋体" w:eastAsia="宋体" w:cs="Times New Roman"/>
          <w:sz w:val="24"/>
        </w:rPr>
        <w:t>.2</w:t>
      </w:r>
      <w:r>
        <w:rPr>
          <w:rFonts w:hint="eastAsia" w:ascii="宋体" w:hAnsi="宋体" w:eastAsia="宋体" w:cs="Times New Roman"/>
          <w:sz w:val="24"/>
          <w:lang w:eastAsia="zh-CN"/>
        </w:rPr>
        <w:t>成交供应商</w:t>
      </w:r>
      <w:r>
        <w:rPr>
          <w:rFonts w:hint="eastAsia" w:ascii="宋体" w:hAnsi="宋体" w:eastAsia="宋体" w:cs="Times New Roman"/>
          <w:sz w:val="24"/>
        </w:rPr>
        <w:t>须设有维修服务电话，负责解答用户在货物使用中遇到的问题，及时提出解决问题的建议和操作方法。</w:t>
      </w:r>
      <w:r>
        <w:rPr>
          <w:rFonts w:hint="eastAsia" w:ascii="宋体" w:hAnsi="宋体"/>
          <w:sz w:val="24"/>
        </w:rPr>
        <w:t xml:space="preserve">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1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.3售后服务响应时间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 w:cs="宋体"/>
          <w:sz w:val="24"/>
          <w:szCs w:val="24"/>
        </w:rPr>
        <w:t>如货物出现质量问题，</w:t>
      </w:r>
      <w:r>
        <w:rPr>
          <w:rFonts w:hint="eastAsia" w:ascii="宋体" w:hAnsi="宋体"/>
          <w:sz w:val="24"/>
          <w:lang w:eastAsia="zh-CN"/>
        </w:rPr>
        <w:t>成交供应商</w:t>
      </w:r>
      <w:r>
        <w:rPr>
          <w:rFonts w:hint="eastAsia" w:ascii="宋体" w:hAnsi="宋体" w:cs="宋体"/>
          <w:sz w:val="24"/>
          <w:szCs w:val="24"/>
        </w:rPr>
        <w:t>须</w:t>
      </w:r>
      <w:r>
        <w:rPr>
          <w:rFonts w:hint="eastAsia" w:ascii="宋体" w:hAnsi="宋体" w:cs="宋体"/>
          <w:color w:val="FF0000"/>
          <w:sz w:val="24"/>
          <w:szCs w:val="24"/>
          <w:u w:val="single"/>
        </w:rPr>
        <w:t>1小时内</w:t>
      </w:r>
      <w:r>
        <w:rPr>
          <w:rFonts w:hint="eastAsia" w:ascii="宋体" w:hAnsi="宋体" w:cs="宋体"/>
          <w:sz w:val="24"/>
          <w:szCs w:val="24"/>
        </w:rPr>
        <w:t>响应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电话响应无法解决，</w:t>
      </w:r>
      <w:r>
        <w:rPr>
          <w:rFonts w:hint="eastAsia" w:ascii="宋体" w:hAnsi="宋体"/>
          <w:sz w:val="24"/>
          <w:lang w:eastAsia="zh-CN"/>
        </w:rPr>
        <w:t>成交供应商</w:t>
      </w:r>
      <w:r>
        <w:rPr>
          <w:rFonts w:hint="eastAsia" w:ascii="宋体" w:hAnsi="宋体" w:cs="宋体"/>
          <w:sz w:val="24"/>
          <w:szCs w:val="24"/>
        </w:rPr>
        <w:t>必须在接报修电话</w:t>
      </w:r>
      <w:r>
        <w:rPr>
          <w:rFonts w:hint="eastAsia" w:ascii="宋体" w:hAnsi="宋体" w:cs="宋体"/>
          <w:color w:val="FF0000"/>
          <w:sz w:val="24"/>
          <w:szCs w:val="24"/>
          <w:u w:val="single"/>
        </w:rPr>
        <w:t>24小时</w:t>
      </w:r>
      <w:r>
        <w:rPr>
          <w:rFonts w:hint="eastAsia" w:ascii="宋体" w:hAnsi="宋体" w:cs="宋体"/>
          <w:sz w:val="24"/>
          <w:szCs w:val="24"/>
        </w:rPr>
        <w:t>内到达现场并在</w:t>
      </w:r>
      <w:r>
        <w:rPr>
          <w:rFonts w:hint="eastAsia" w:ascii="宋体" w:hAnsi="宋体" w:cs="宋体"/>
          <w:color w:val="FF0000"/>
          <w:sz w:val="24"/>
          <w:szCs w:val="24"/>
          <w:u w:val="single"/>
        </w:rPr>
        <w:t>48小时</w:t>
      </w:r>
      <w:r>
        <w:rPr>
          <w:rFonts w:hint="eastAsia" w:ascii="宋体" w:hAnsi="宋体" w:cs="宋体"/>
          <w:sz w:val="24"/>
          <w:szCs w:val="24"/>
        </w:rPr>
        <w:t>内解决问题。如不能解决的，</w:t>
      </w:r>
      <w:r>
        <w:rPr>
          <w:rFonts w:hint="eastAsia" w:ascii="宋体" w:hAnsi="宋体"/>
          <w:sz w:val="24"/>
          <w:lang w:eastAsia="zh-CN"/>
        </w:rPr>
        <w:t>成交供应商</w:t>
      </w:r>
      <w:r>
        <w:rPr>
          <w:rFonts w:hint="eastAsia" w:ascii="宋体" w:hAnsi="宋体" w:cs="宋体"/>
          <w:sz w:val="24"/>
          <w:szCs w:val="24"/>
        </w:rPr>
        <w:t>需提供备品备件供采购人使用。质保期内如货物出现质量问题，</w:t>
      </w:r>
      <w:r>
        <w:rPr>
          <w:rFonts w:hint="eastAsia" w:ascii="宋体" w:hAnsi="宋体"/>
          <w:sz w:val="24"/>
          <w:lang w:eastAsia="zh-CN"/>
        </w:rPr>
        <w:t>成交供应商</w:t>
      </w:r>
      <w:r>
        <w:rPr>
          <w:rFonts w:hint="eastAsia" w:ascii="宋体" w:hAnsi="宋体" w:cs="宋体"/>
          <w:sz w:val="24"/>
          <w:szCs w:val="24"/>
        </w:rPr>
        <w:t>负责修复，对于无法修复的情况，</w:t>
      </w:r>
      <w:r>
        <w:rPr>
          <w:rFonts w:hint="eastAsia" w:ascii="宋体" w:hAnsi="宋体"/>
          <w:sz w:val="24"/>
          <w:lang w:eastAsia="zh-CN"/>
        </w:rPr>
        <w:t>成交供应商</w:t>
      </w:r>
      <w:r>
        <w:rPr>
          <w:rFonts w:hint="eastAsia" w:ascii="宋体" w:hAnsi="宋体" w:cs="宋体"/>
          <w:sz w:val="24"/>
          <w:szCs w:val="24"/>
        </w:rPr>
        <w:t>负责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免费</w:t>
      </w:r>
      <w:r>
        <w:rPr>
          <w:rFonts w:hint="eastAsia" w:ascii="宋体" w:hAnsi="宋体" w:cs="宋体"/>
          <w:sz w:val="24"/>
          <w:szCs w:val="24"/>
        </w:rPr>
        <w:t>更换。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20"/>
        </w:tabs>
        <w:kinsoku/>
        <w:wordWrap/>
        <w:overflowPunct/>
        <w:topLinePunct w:val="0"/>
        <w:autoSpaceDE/>
        <w:autoSpaceDN/>
        <w:bidi w:val="0"/>
        <w:adjustRightInd/>
        <w:spacing w:line="410" w:lineRule="exact"/>
        <w:ind w:firstLine="480" w:firstLineChars="200"/>
        <w:textAlignment w:val="auto"/>
        <w:outlineLvl w:val="0"/>
        <w:rPr>
          <w:rFonts w:hint="eastAsia" w:ascii="宋体" w:hAnsi="宋体" w:eastAsia="宋体" w:cs="Times New Roman"/>
          <w:sz w:val="24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sz w:val="24"/>
          <w:highlight w:val="yellow"/>
          <w:lang w:val="en-US" w:eastAsia="zh-CN"/>
        </w:rPr>
        <w:t>4、供货期：接采购人通知后，7个日历日内供货。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20"/>
        </w:tabs>
        <w:kinsoku/>
        <w:wordWrap/>
        <w:overflowPunct/>
        <w:topLinePunct w:val="0"/>
        <w:autoSpaceDE/>
        <w:autoSpaceDN/>
        <w:bidi w:val="0"/>
        <w:adjustRightInd/>
        <w:spacing w:line="410" w:lineRule="exact"/>
        <w:ind w:firstLine="480" w:firstLineChars="200"/>
        <w:textAlignment w:val="auto"/>
        <w:outlineLvl w:val="0"/>
        <w:rPr>
          <w:rFonts w:hint="eastAsia"/>
          <w:lang w:val="en-US" w:eastAsia="zh-CN"/>
        </w:rPr>
      </w:pPr>
      <w:r>
        <w:rPr>
          <w:rFonts w:hint="eastAsia" w:ascii="宋体" w:hAnsi="宋体" w:eastAsia="宋体" w:cs="Times New Roman"/>
          <w:sz w:val="24"/>
          <w:highlight w:val="yellow"/>
          <w:lang w:val="en-US" w:eastAsia="zh-CN"/>
        </w:rPr>
        <w:t>5、服务期2年（自签订之日起计算，第一年度服务期满前，采购人对供应商进行年度考核，若考核不合格采购人有权终止合同。合同期内按需供货）</w:t>
      </w:r>
    </w:p>
    <w:p>
      <w:pPr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adjustRightInd/>
        <w:spacing w:line="410" w:lineRule="exact"/>
        <w:ind w:firstLine="480" w:firstLineChars="200"/>
        <w:textAlignment w:val="auto"/>
        <w:outlineLvl w:val="0"/>
        <w:rPr>
          <w:rFonts w:ascii="宋体" w:hAnsi="宋体"/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6、供货地点：马鞍山市中医院（</w:t>
      </w:r>
      <w:r>
        <w:rPr>
          <w:rFonts w:hint="eastAsia" w:ascii="宋体" w:hAnsi="宋体" w:cs="Times New Roman"/>
          <w:sz w:val="24"/>
          <w:lang w:val="en-US" w:eastAsia="zh-CN"/>
        </w:rPr>
        <w:t>成交供应商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指定地点）。  </w:t>
      </w:r>
      <w:r>
        <w:rPr>
          <w:rFonts w:hint="eastAsia" w:ascii="宋体" w:hAnsi="宋体"/>
          <w:sz w:val="24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480" w:firstLineChars="200"/>
        <w:textAlignment w:val="auto"/>
        <w:rPr>
          <w:rFonts w:hint="eastAsia" w:ascii="宋体" w:hAnsi="宋体" w:eastAsia="宋体" w:cs="Times New Roman"/>
          <w:sz w:val="24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sz w:val="24"/>
          <w:highlight w:val="yellow"/>
          <w:lang w:val="en-US" w:eastAsia="zh-CN"/>
        </w:rPr>
        <w:t>7、付款方式：根据使用产品数量据实结算，每月收到发票且验收合格后12个月付全款；</w:t>
      </w: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right"/>
        <w:rPr>
          <w:rFonts w:hint="eastAsia"/>
          <w:lang w:val="en-US" w:eastAsia="zh-CN"/>
        </w:rPr>
      </w:pPr>
    </w:p>
    <w:p>
      <w:pPr>
        <w:bidi w:val="0"/>
        <w:jc w:val="both"/>
        <w:rPr>
          <w:rFonts w:hint="default"/>
          <w:sz w:val="32"/>
          <w:szCs w:val="32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FA3FD"/>
    <w:multiLevelType w:val="singleLevel"/>
    <w:tmpl w:val="98DFA3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EF8BFA"/>
    <w:multiLevelType w:val="singleLevel"/>
    <w:tmpl w:val="FEEF8B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20511"/>
    <w:rsid w:val="10EB04D8"/>
    <w:rsid w:val="1CCC3175"/>
    <w:rsid w:val="268535D7"/>
    <w:rsid w:val="2876693E"/>
    <w:rsid w:val="30DE2557"/>
    <w:rsid w:val="34EA3075"/>
    <w:rsid w:val="3DF234B8"/>
    <w:rsid w:val="4170740E"/>
    <w:rsid w:val="428640A6"/>
    <w:rsid w:val="4EB40C4B"/>
    <w:rsid w:val="4FB71253"/>
    <w:rsid w:val="507B3916"/>
    <w:rsid w:val="50F8116D"/>
    <w:rsid w:val="53411099"/>
    <w:rsid w:val="59DD7586"/>
    <w:rsid w:val="5A1E71E7"/>
    <w:rsid w:val="5F08551B"/>
    <w:rsid w:val="7EE1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3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0">
    <w:name w:val="font21"/>
    <w:basedOn w:val="7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372</Characters>
  <Lines>0</Lines>
  <Paragraphs>0</Paragraphs>
  <TotalTime>53</TotalTime>
  <ScaleCrop>false</ScaleCrop>
  <LinksUpToDate>false</LinksUpToDate>
  <CharactersWithSpaces>373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2026-04-22T06:38:00Z</dcterms:created>
  <dc:creator>Administrator</dc:creator>
  <cp:lastModifiedBy>绝世撒旦</cp:lastModifiedBy>
  <cp:lastPrinted>2026-08-21T08:59:00Z</cp:lastPrinted>
  <dcterms:modified xsi:type="dcterms:W3CDTF">2026-08-21T09:33:26Z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KSOTemplateDocerSaveRecord">
    <vt:lpwstr>eyJoZGlkIjoiZTg3MmRkZTZhNmI1ZTY3OGEzMGNiNzYzNGY5Y2FiZDIiLCJ1c2VySWQiOiI3MDg0MzM0MzAifQ==</vt:lpwstr>
  </property>
  <property fmtid="{D5CDD505-2E9C-101B-9397-08002B2CF9AE}" pid="4" name="ICV">
    <vt:lpwstr>9F15100DA55243198C0BBCBA0CC7EF4F</vt:lpwstr>
  </property>
</Properties>
</file>