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4C6A9">
      <w:pPr>
        <w:keepNext/>
        <w:keepLines/>
        <w:pageBreakBefore w:val="0"/>
        <w:widowControl w:val="0"/>
        <w:kinsoku/>
        <w:wordWrap/>
        <w:overflowPunct/>
        <w:topLinePunct w:val="0"/>
        <w:autoSpaceDE/>
        <w:autoSpaceDN/>
        <w:bidi w:val="0"/>
        <w:adjustRightInd/>
        <w:spacing w:line="460" w:lineRule="exact"/>
        <w:jc w:val="center"/>
        <w:outlineLvl w:val="0"/>
        <w:rPr>
          <w:rFonts w:hint="eastAsia" w:ascii="仿宋_GB2312" w:hAnsi="仿宋_GB2312" w:eastAsia="仿宋_GB2312" w:cs="仿宋_GB2312"/>
          <w:b/>
          <w:bCs/>
          <w:color w:val="auto"/>
          <w:kern w:val="2"/>
          <w:sz w:val="32"/>
          <w:szCs w:val="32"/>
          <w:highlight w:val="yellow"/>
          <w:lang w:val="en-US" w:eastAsia="zh-CN" w:bidi="ar-SA"/>
        </w:rPr>
      </w:pPr>
      <w:r>
        <w:rPr>
          <w:rFonts w:hint="eastAsia" w:ascii="仿宋_GB2312" w:hAnsi="仿宋_GB2312" w:eastAsia="仿宋_GB2312" w:cs="仿宋_GB2312"/>
          <w:b/>
          <w:bCs/>
          <w:color w:val="auto"/>
          <w:kern w:val="2"/>
          <w:sz w:val="32"/>
          <w:szCs w:val="32"/>
          <w:highlight w:val="yellow"/>
          <w:lang w:val="en-US" w:eastAsia="zh-CN" w:bidi="ar-SA"/>
        </w:rPr>
        <w:t>（本次公示的采购需求为初步需求，具体以采购文件为准）</w:t>
      </w:r>
    </w:p>
    <w:p w14:paraId="635AB696">
      <w:pPr>
        <w:keepNext w:val="0"/>
        <w:keepLines w:val="0"/>
        <w:pageBreakBefore w:val="0"/>
        <w:widowControl w:val="0"/>
        <w:tabs>
          <w:tab w:val="left" w:pos="7020"/>
        </w:tabs>
        <w:kinsoku/>
        <w:wordWrap/>
        <w:overflowPunct/>
        <w:topLinePunct w:val="0"/>
        <w:autoSpaceDE/>
        <w:autoSpaceDN/>
        <w:bidi w:val="0"/>
        <w:adjustRightInd/>
        <w:snapToGrid/>
        <w:spacing w:line="480" w:lineRule="exact"/>
        <w:ind w:firstLine="723" w:firstLineChars="200"/>
        <w:jc w:val="center"/>
        <w:textAlignment w:val="auto"/>
        <w:rPr>
          <w:rFonts w:hint="eastAsia" w:ascii="Times New Roman" w:hAnsi="Times New Roman" w:eastAsia="仿宋_GB2312" w:cs="Times New Roman"/>
          <w:b/>
          <w:bCs/>
          <w:color w:val="auto"/>
          <w:kern w:val="0"/>
          <w:sz w:val="36"/>
          <w:szCs w:val="36"/>
          <w:shd w:val="clear" w:color="auto" w:fill="FFFFFF"/>
          <w:lang w:val="en-US" w:eastAsia="zh-CN" w:bidi="ar-SA"/>
        </w:rPr>
      </w:pPr>
    </w:p>
    <w:p w14:paraId="54008DF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center"/>
        <w:textAlignment w:val="auto"/>
        <w:outlineLvl w:val="9"/>
        <w:rPr>
          <w:rFonts w:hint="eastAsia" w:ascii="Times New Roman" w:hAnsi="Times New Roman" w:eastAsia="宋体" w:cs="Times New Roman"/>
          <w:b w:val="0"/>
          <w:bCs w:val="0"/>
          <w:color w:val="000000"/>
          <w:sz w:val="36"/>
          <w:szCs w:val="36"/>
          <w:lang w:val="en-US" w:eastAsia="zh-CN"/>
        </w:rPr>
      </w:pPr>
      <w:r>
        <w:rPr>
          <w:rFonts w:hint="eastAsia" w:ascii="Times New Roman" w:hAnsi="Times New Roman" w:eastAsia="宋体" w:cs="Times New Roman"/>
          <w:b w:val="0"/>
          <w:bCs w:val="0"/>
          <w:color w:val="000000"/>
          <w:sz w:val="36"/>
          <w:szCs w:val="36"/>
          <w:lang w:val="en-US" w:eastAsia="zh-CN"/>
        </w:rPr>
        <w:t>马鞍山市中医院中医体质辩识仪采购及中医人工智能健康状态辨识云服务内容及总体要求</w:t>
      </w:r>
    </w:p>
    <w:p w14:paraId="6DAC0A41">
      <w:pPr>
        <w:rPr>
          <w:rFonts w:hint="eastAsia" w:ascii="Times New Roman" w:hAnsi="Times New Roman" w:eastAsia="仿宋_GB2312" w:cs="Times New Roman"/>
          <w:b/>
          <w:bCs/>
          <w:color w:val="FF0000"/>
          <w:kern w:val="2"/>
          <w:sz w:val="24"/>
          <w:szCs w:val="24"/>
          <w:highlight w:val="yellow"/>
          <w:lang w:val="en-US" w:eastAsia="zh-CN" w:bidi="ar-SA"/>
        </w:rPr>
      </w:pPr>
      <w:r>
        <w:rPr>
          <w:rFonts w:hint="eastAsia" w:eastAsia="宋体"/>
          <w:sz w:val="22"/>
          <w:szCs w:val="22"/>
          <w:lang w:val="en-US" w:eastAsia="zh-CN"/>
        </w:rPr>
        <w:tab/>
      </w:r>
      <w:bookmarkStart w:id="0" w:name="_GoBack"/>
      <w:bookmarkEnd w:id="0"/>
    </w:p>
    <w:p w14:paraId="40467D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一、采购预算</w:t>
      </w:r>
    </w:p>
    <w:p w14:paraId="626F20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项目预算（人民币）：21万元；</w:t>
      </w:r>
    </w:p>
    <w:p w14:paraId="3E9180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最高限价（人民币）：21万元。</w:t>
      </w:r>
    </w:p>
    <w:p w14:paraId="57A233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lang w:val="en-US" w:eastAsia="zh-CN"/>
        </w:rPr>
      </w:pPr>
    </w:p>
    <w:p w14:paraId="2C8961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二、采购内容及相关要求</w:t>
      </w:r>
    </w:p>
    <w:p w14:paraId="6750A689">
      <w:pPr>
        <w:keepNext w:val="0"/>
        <w:keepLines w:val="0"/>
        <w:pageBreakBefore w:val="0"/>
        <w:numPr>
          <w:ilvl w:val="0"/>
          <w:numId w:val="0"/>
        </w:numPr>
        <w:tabs>
          <w:tab w:val="left" w:pos="1050"/>
        </w:tabs>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kern w:val="2"/>
          <w:sz w:val="24"/>
          <w:szCs w:val="24"/>
          <w:lang w:val="en-US" w:eastAsia="zh-CN" w:bidi="ar-SA"/>
        </w:rPr>
        <w:t>一、</w:t>
      </w:r>
      <w:r>
        <w:rPr>
          <w:rFonts w:hint="eastAsia" w:asciiTheme="minorEastAsia" w:hAnsiTheme="minorEastAsia" w:eastAsiaTheme="minorEastAsia" w:cstheme="minorEastAsia"/>
          <w:b/>
          <w:sz w:val="24"/>
          <w:szCs w:val="24"/>
        </w:rPr>
        <w:t>采购清单</w:t>
      </w:r>
    </w:p>
    <w:p w14:paraId="55DCA1C2">
      <w:pPr>
        <w:keepNext w:val="0"/>
        <w:keepLines w:val="0"/>
        <w:pageBreakBefore w:val="0"/>
        <w:numPr>
          <w:ilvl w:val="0"/>
          <w:numId w:val="0"/>
        </w:numPr>
        <w:tabs>
          <w:tab w:val="left" w:pos="1050"/>
        </w:tabs>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sz w:val="24"/>
          <w:szCs w:val="24"/>
          <w:lang w:val="en-US"/>
        </w:rPr>
      </w:pP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硬件清单</w:t>
      </w:r>
    </w:p>
    <w:tbl>
      <w:tblPr>
        <w:tblStyle w:val="24"/>
        <w:tblW w:w="83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534"/>
        <w:gridCol w:w="622"/>
        <w:gridCol w:w="2159"/>
      </w:tblGrid>
      <w:tr w14:paraId="5461A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Align w:val="center"/>
          </w:tcPr>
          <w:p w14:paraId="5F018960">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bCs/>
                <w:spacing w:val="-4"/>
                <w:sz w:val="24"/>
                <w:szCs w:val="24"/>
                <w:lang w:val="en-US" w:eastAsia="zh-CN"/>
              </w:rPr>
              <w:t>货物名称</w:t>
            </w:r>
          </w:p>
        </w:tc>
        <w:tc>
          <w:tcPr>
            <w:tcW w:w="0" w:type="auto"/>
            <w:vAlign w:val="center"/>
          </w:tcPr>
          <w:p w14:paraId="651806CD">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pacing w:val="-7"/>
                <w:sz w:val="24"/>
                <w:szCs w:val="24"/>
              </w:rPr>
              <w:t>数量</w:t>
            </w:r>
          </w:p>
        </w:tc>
        <w:tc>
          <w:tcPr>
            <w:tcW w:w="2159" w:type="dxa"/>
            <w:vAlign w:val="center"/>
          </w:tcPr>
          <w:p w14:paraId="43F7CC2A">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eastAsia" w:asciiTheme="minorEastAsia" w:hAnsiTheme="minorEastAsia" w:eastAsiaTheme="minorEastAsia" w:cstheme="minorEastAsia"/>
                <w:b/>
                <w:bCs/>
                <w:spacing w:val="-7"/>
                <w:sz w:val="24"/>
                <w:szCs w:val="24"/>
                <w:lang w:val="en-US" w:eastAsia="zh-CN"/>
              </w:rPr>
            </w:pPr>
            <w:r>
              <w:rPr>
                <w:rFonts w:hint="eastAsia" w:asciiTheme="minorEastAsia" w:hAnsiTheme="minorEastAsia" w:eastAsiaTheme="minorEastAsia" w:cstheme="minorEastAsia"/>
                <w:b/>
                <w:bCs/>
                <w:spacing w:val="-7"/>
                <w:sz w:val="24"/>
                <w:szCs w:val="24"/>
                <w:lang w:val="en-US" w:eastAsia="zh-CN"/>
              </w:rPr>
              <w:t>最高单价（元）</w:t>
            </w:r>
          </w:p>
        </w:tc>
      </w:tr>
      <w:tr w14:paraId="1CBE7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534" w:type="dxa"/>
            <w:vAlign w:val="center"/>
          </w:tcPr>
          <w:p w14:paraId="72D6B258">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中医体质辨识仪</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en-US"/>
              </w:rPr>
              <w:t>中医体质辨识系统</w:t>
            </w:r>
            <w:r>
              <w:rPr>
                <w:rFonts w:hint="eastAsia" w:asciiTheme="minorEastAsia" w:hAnsiTheme="minorEastAsia" w:eastAsiaTheme="minorEastAsia" w:cstheme="minorEastAsia"/>
                <w:sz w:val="24"/>
                <w:szCs w:val="24"/>
                <w:lang w:val="en-US" w:eastAsia="zh-CN"/>
              </w:rPr>
              <w:t>）</w:t>
            </w:r>
          </w:p>
        </w:tc>
        <w:tc>
          <w:tcPr>
            <w:tcW w:w="622" w:type="dxa"/>
            <w:vAlign w:val="center"/>
          </w:tcPr>
          <w:p w14:paraId="01C415F2">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5"/>
                <w:sz w:val="24"/>
                <w:szCs w:val="24"/>
                <w:lang w:val="en-US" w:eastAsia="zh-CN"/>
              </w:rPr>
              <w:t>2套</w:t>
            </w:r>
          </w:p>
        </w:tc>
        <w:tc>
          <w:tcPr>
            <w:tcW w:w="2159" w:type="dxa"/>
            <w:vAlign w:val="center"/>
          </w:tcPr>
          <w:p w14:paraId="105338AF">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50000</w:t>
            </w:r>
          </w:p>
        </w:tc>
      </w:tr>
    </w:tbl>
    <w:p w14:paraId="38C2375C">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b/>
          <w:bCs/>
          <w:color w:val="FF0000"/>
          <w:kern w:val="0"/>
          <w:sz w:val="24"/>
          <w:szCs w:val="24"/>
          <w:lang w:val="en-US" w:eastAsia="zh-CN" w:bidi="ar"/>
        </w:rPr>
      </w:pPr>
    </w:p>
    <w:p w14:paraId="64FF11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1、基础采集硬件要求：</w:t>
      </w:r>
    </w:p>
    <w:p w14:paraId="1E384B1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lang w:val="en-US" w:eastAsia="zh-CN"/>
        </w:rPr>
        <w:t>1.1</w:t>
      </w:r>
      <w:r>
        <w:rPr>
          <w:rFonts w:hint="eastAsia" w:ascii="Times New Roman" w:hAnsi="Times New Roman" w:eastAsia="宋体" w:cs="Times New Roman"/>
          <w:color w:val="000000"/>
          <w:sz w:val="24"/>
          <w:szCs w:val="24"/>
          <w:highlight w:val="none"/>
        </w:rPr>
        <w:t>多模态融合采集：集成高清舌象采集模块、面部图像采集模块，配套标准化问诊交互终端，实现舌、面、问诊</w:t>
      </w:r>
      <w:r>
        <w:rPr>
          <w:rFonts w:hint="eastAsia" w:ascii="Times New Roman" w:hAnsi="Times New Roman" w:eastAsia="宋体" w:cs="Times New Roman"/>
          <w:color w:val="000000"/>
          <w:sz w:val="24"/>
          <w:szCs w:val="24"/>
          <w:highlight w:val="none"/>
          <w:lang w:val="en-US" w:eastAsia="zh-CN"/>
        </w:rPr>
        <w:t>及以上</w:t>
      </w:r>
      <w:r>
        <w:rPr>
          <w:rFonts w:hint="eastAsia" w:ascii="Times New Roman" w:hAnsi="Times New Roman" w:eastAsia="宋体" w:cs="Times New Roman"/>
          <w:color w:val="000000"/>
          <w:sz w:val="24"/>
          <w:szCs w:val="24"/>
          <w:highlight w:val="none"/>
        </w:rPr>
        <w:t>参数字化采集；单次舌面图像采集≤60 秒，全流程问诊 + AI 分析 + 完整报告生成≤30 秒；</w:t>
      </w:r>
    </w:p>
    <w:p w14:paraId="1A3549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■1.2</w:t>
      </w:r>
      <w:r>
        <w:rPr>
          <w:rFonts w:hint="eastAsia" w:ascii="Times New Roman" w:hAnsi="Times New Roman" w:eastAsia="宋体" w:cs="Times New Roman"/>
          <w:color w:val="000000"/>
          <w:sz w:val="24"/>
          <w:szCs w:val="24"/>
          <w:highlight w:val="none"/>
        </w:rPr>
        <w:t>成像标准：内置可调标准补光系统，消除环境光线反光、阴影干扰，成像画质满足中医舌面诊 AI 识别标准</w:t>
      </w:r>
      <w:r>
        <w:rPr>
          <w:rFonts w:hint="eastAsia" w:ascii="Times New Roman" w:hAnsi="Times New Roman" w:eastAsia="宋体" w:cs="Times New Roman"/>
          <w:color w:val="000000"/>
          <w:sz w:val="24"/>
          <w:szCs w:val="24"/>
          <w:highlight w:val="none"/>
          <w:lang w:eastAsia="zh-CN"/>
        </w:rPr>
        <w:t>；</w:t>
      </w:r>
    </w:p>
    <w:p w14:paraId="6EFBFA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1.3</w:t>
      </w:r>
      <w:r>
        <w:rPr>
          <w:rFonts w:hint="eastAsia" w:ascii="Times New Roman" w:hAnsi="Times New Roman" w:eastAsia="宋体" w:cs="Times New Roman"/>
          <w:color w:val="000000"/>
          <w:sz w:val="24"/>
          <w:szCs w:val="24"/>
          <w:highlight w:val="none"/>
        </w:rPr>
        <w:t>交互终端：触控显示屏尺寸≥21.5 英寸，屏幕分辨率≥1920×1080，整机运行内存≥4GB、存储≥32GB，配备可升降支架，界面字体放大、操作简化，适配中老年患者；支持触摸输入、报告预览、本地打印；</w:t>
      </w:r>
    </w:p>
    <w:p w14:paraId="26C966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■1.4</w:t>
      </w:r>
      <w:r>
        <w:rPr>
          <w:rFonts w:hint="eastAsia" w:ascii="Times New Roman" w:hAnsi="Times New Roman" w:eastAsia="宋体" w:cs="Times New Roman"/>
          <w:color w:val="000000"/>
          <w:sz w:val="24"/>
          <w:szCs w:val="24"/>
          <w:highlight w:val="none"/>
        </w:rPr>
        <w:t>图像采集相机：支持自动白平衡、自动对焦，有效成像像素≥4800 万，适配通用 Type-C/USB 数据传输；</w:t>
      </w:r>
    </w:p>
    <w:p w14:paraId="29BFF9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1.5</w:t>
      </w:r>
      <w:r>
        <w:rPr>
          <w:rFonts w:hint="eastAsia" w:ascii="Times New Roman" w:hAnsi="Times New Roman" w:eastAsia="宋体" w:cs="Times New Roman"/>
          <w:color w:val="000000"/>
          <w:sz w:val="24"/>
          <w:szCs w:val="24"/>
          <w:highlight w:val="none"/>
        </w:rPr>
        <w:t>光源：环形可调 LED 光源，色温区间 3800K-6</w:t>
      </w:r>
      <w:r>
        <w:rPr>
          <w:rFonts w:hint="eastAsia" w:ascii="Times New Roman" w:hAnsi="Times New Roman" w:eastAsia="宋体" w:cs="Times New Roman"/>
          <w:color w:val="000000"/>
          <w:sz w:val="24"/>
          <w:szCs w:val="24"/>
          <w:highlight w:val="none"/>
          <w:lang w:val="en-US" w:eastAsia="zh-CN"/>
        </w:rPr>
        <w:t>5</w:t>
      </w:r>
      <w:r>
        <w:rPr>
          <w:rFonts w:hint="eastAsia" w:ascii="Times New Roman" w:hAnsi="Times New Roman" w:eastAsia="宋体" w:cs="Times New Roman"/>
          <w:color w:val="000000"/>
          <w:sz w:val="24"/>
          <w:szCs w:val="24"/>
          <w:highlight w:val="none"/>
        </w:rPr>
        <w:t>00K；</w:t>
      </w:r>
    </w:p>
    <w:p w14:paraId="46BB33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1.6</w:t>
      </w:r>
      <w:r>
        <w:rPr>
          <w:rFonts w:hint="eastAsia" w:ascii="Times New Roman" w:hAnsi="Times New Roman" w:eastAsia="宋体" w:cs="Times New Roman"/>
          <w:color w:val="000000"/>
          <w:sz w:val="24"/>
          <w:szCs w:val="24"/>
          <w:highlight w:val="none"/>
        </w:rPr>
        <w:t>通讯：支持 WLAN、蓝牙、有线数据传输，具备本地离线缓存功能</w:t>
      </w:r>
      <w:r>
        <w:rPr>
          <w:rFonts w:hint="eastAsia" w:ascii="Times New Roman" w:hAnsi="Times New Roman" w:eastAsia="宋体" w:cs="Times New Roman"/>
          <w:color w:val="000000"/>
          <w:sz w:val="24"/>
          <w:szCs w:val="24"/>
          <w:highlight w:val="none"/>
          <w:lang w:eastAsia="zh-CN"/>
        </w:rPr>
        <w:t>，</w:t>
      </w:r>
      <w:r>
        <w:rPr>
          <w:rFonts w:ascii="宋体" w:hAnsi="宋体" w:eastAsia="宋体" w:cs="宋体"/>
          <w:sz w:val="24"/>
          <w:szCs w:val="24"/>
          <w:highlight w:val="none"/>
        </w:rPr>
        <w:t>断网时检测数据本地留存，恢复网络自动同步云端</w:t>
      </w:r>
      <w:r>
        <w:rPr>
          <w:rFonts w:hint="eastAsia" w:ascii="Times New Roman" w:hAnsi="Times New Roman" w:eastAsia="宋体" w:cs="Times New Roman"/>
          <w:color w:val="000000"/>
          <w:sz w:val="24"/>
          <w:szCs w:val="24"/>
          <w:highlight w:val="none"/>
        </w:rPr>
        <w:t>。</w:t>
      </w:r>
    </w:p>
    <w:p w14:paraId="5998A3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2、AI 辨识核心能力硬性指标</w:t>
      </w:r>
    </w:p>
    <w:p w14:paraId="3EBDCF6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2.1算法依据：严格执行《中医体质分类与判定》标准，</w:t>
      </w:r>
      <w:r>
        <w:rPr>
          <w:rFonts w:hint="eastAsia" w:ascii="宋体" w:hAnsi="宋体" w:eastAsia="宋体" w:cs="宋体"/>
          <w:b w:val="0"/>
          <w:bCs w:val="0"/>
          <w:color w:val="000000"/>
          <w:kern w:val="0"/>
          <w:sz w:val="24"/>
          <w:szCs w:val="24"/>
          <w:highlight w:val="none"/>
          <w:lang w:val="en-US" w:eastAsia="zh-CN" w:bidi="ar"/>
        </w:rPr>
        <w:t>可识别 9 类基</w:t>
      </w:r>
      <w:r>
        <w:rPr>
          <w:rFonts w:hint="eastAsia" w:ascii="Times New Roman" w:hAnsi="Times New Roman" w:eastAsia="宋体" w:cs="Times New Roman"/>
          <w:b w:val="0"/>
          <w:bCs w:val="0"/>
          <w:color w:val="000000"/>
          <w:sz w:val="24"/>
          <w:szCs w:val="24"/>
          <w:highlight w:val="none"/>
        </w:rPr>
        <w:t>础体质</w:t>
      </w:r>
      <w:r>
        <w:rPr>
          <w:rFonts w:hint="eastAsia" w:ascii="Times New Roman" w:hAnsi="Times New Roman" w:eastAsia="宋体" w:cs="Times New Roman"/>
          <w:color w:val="000000"/>
          <w:sz w:val="24"/>
          <w:szCs w:val="24"/>
          <w:highlight w:val="none"/>
        </w:rPr>
        <w:t xml:space="preserve">、兼夹体质，不少于 </w:t>
      </w:r>
      <w:r>
        <w:rPr>
          <w:rFonts w:hint="eastAsia" w:ascii="Times New Roman" w:hAnsi="Times New Roman" w:eastAsia="宋体" w:cs="Times New Roman"/>
          <w:color w:val="000000"/>
          <w:sz w:val="24"/>
          <w:szCs w:val="24"/>
          <w:highlight w:val="none"/>
          <w:lang w:val="en-US" w:eastAsia="zh-CN"/>
        </w:rPr>
        <w:t>80</w:t>
      </w:r>
      <w:r>
        <w:rPr>
          <w:rFonts w:hint="eastAsia" w:ascii="Times New Roman" w:hAnsi="Times New Roman" w:eastAsia="宋体" w:cs="Times New Roman"/>
          <w:color w:val="000000"/>
          <w:sz w:val="24"/>
          <w:szCs w:val="24"/>
          <w:highlight w:val="none"/>
        </w:rPr>
        <w:t xml:space="preserve"> 种健康状态倾向性分析，</w:t>
      </w:r>
      <w:r>
        <w:rPr>
          <w:rFonts w:hint="eastAsia" w:ascii="Times New Roman" w:hAnsi="Times New Roman" w:eastAsia="宋体" w:cs="Times New Roman"/>
          <w:b/>
          <w:bCs/>
          <w:color w:val="000000"/>
          <w:sz w:val="24"/>
          <w:szCs w:val="24"/>
          <w:highlight w:val="none"/>
        </w:rPr>
        <w:t>仅输出体质分型、健康科普提示，不自动判定疾病、不自动输出方药</w:t>
      </w:r>
      <w:r>
        <w:rPr>
          <w:rFonts w:hint="eastAsia" w:ascii="Times New Roman" w:hAnsi="Times New Roman" w:eastAsia="宋体" w:cs="Times New Roman"/>
          <w:color w:val="000000"/>
          <w:sz w:val="24"/>
          <w:szCs w:val="24"/>
          <w:highlight w:val="none"/>
        </w:rPr>
        <w:t>；内置老年慢病、妇科健康科普评估模型，所有医疗干预内容锁定医师审核通道；</w:t>
      </w:r>
    </w:p>
    <w:p w14:paraId="727A26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■2.2</w:t>
      </w:r>
      <w:r>
        <w:rPr>
          <w:rFonts w:hint="eastAsia" w:ascii="Times New Roman" w:hAnsi="Times New Roman" w:eastAsia="宋体" w:cs="Times New Roman"/>
          <w:color w:val="000000"/>
          <w:sz w:val="24"/>
          <w:szCs w:val="24"/>
          <w:highlight w:val="none"/>
        </w:rPr>
        <w:t>算法准确率：舌面象特征综合识别准确率≥9</w:t>
      </w:r>
      <w:r>
        <w:rPr>
          <w:rFonts w:hint="eastAsia" w:ascii="Times New Roman" w:hAnsi="Times New Roman" w:eastAsia="宋体" w:cs="Times New Roman"/>
          <w:color w:val="000000"/>
          <w:sz w:val="24"/>
          <w:szCs w:val="24"/>
          <w:highlight w:val="none"/>
          <w:lang w:val="en-US" w:eastAsia="zh-CN"/>
        </w:rPr>
        <w:t>2</w:t>
      </w:r>
      <w:r>
        <w:rPr>
          <w:rFonts w:hint="eastAsia" w:ascii="Times New Roman" w:hAnsi="Times New Roman" w:eastAsia="宋体" w:cs="Times New Roman"/>
          <w:color w:val="000000"/>
          <w:sz w:val="24"/>
          <w:szCs w:val="24"/>
          <w:highlight w:val="none"/>
        </w:rPr>
        <w:t>%；</w:t>
      </w:r>
    </w:p>
    <w:p w14:paraId="776DA2B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2.3</w:t>
      </w:r>
      <w:r>
        <w:rPr>
          <w:rFonts w:hint="eastAsia" w:ascii="Times New Roman" w:hAnsi="Times New Roman" w:eastAsia="宋体" w:cs="Times New Roman"/>
          <w:color w:val="000000"/>
          <w:sz w:val="24"/>
          <w:szCs w:val="24"/>
          <w:highlight w:val="none"/>
        </w:rPr>
        <w:t>系统权限隔离：设备本地软件分为患者自助界面、医师管理后台，自助界面仅展示科普调理方案，方药、辨证建议仅医师登录后方可编辑添加并留存审核记录。</w:t>
      </w:r>
    </w:p>
    <w:p w14:paraId="158711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3、报告输出功能要求</w:t>
      </w:r>
    </w:p>
    <w:p w14:paraId="76EF6E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3.1</w:t>
      </w:r>
      <w:r>
        <w:rPr>
          <w:rFonts w:hint="eastAsia" w:ascii="Times New Roman" w:hAnsi="Times New Roman" w:eastAsia="宋体" w:cs="Times New Roman"/>
          <w:color w:val="000000"/>
          <w:sz w:val="24"/>
          <w:szCs w:val="24"/>
          <w:highlight w:val="none"/>
        </w:rPr>
        <w:t>报告强制分区：</w:t>
      </w:r>
    </w:p>
    <w:p w14:paraId="0899C3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第一区域（AI 自动生成，无需医师审核）：患者基础信息、九种体质得分、体质特征、膳食 / 起居 / 穴位基础科普调理；</w:t>
      </w:r>
    </w:p>
    <w:p w14:paraId="785326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第二区域（医师审核专属区，</w:t>
      </w:r>
      <w:r>
        <w:rPr>
          <w:rFonts w:hint="eastAsia" w:ascii="Times New Roman" w:hAnsi="Times New Roman" w:eastAsia="宋体" w:cs="Times New Roman"/>
          <w:color w:val="000000"/>
          <w:sz w:val="24"/>
          <w:szCs w:val="24"/>
          <w:highlight w:val="none"/>
          <w:lang w:val="en-US" w:eastAsia="zh-CN"/>
        </w:rPr>
        <w:t>默认</w:t>
      </w:r>
      <w:r>
        <w:rPr>
          <w:rFonts w:hint="eastAsia" w:ascii="Times New Roman" w:hAnsi="Times New Roman" w:eastAsia="宋体" w:cs="Times New Roman"/>
          <w:color w:val="000000"/>
          <w:sz w:val="24"/>
          <w:szCs w:val="24"/>
          <w:highlight w:val="none"/>
        </w:rPr>
        <w:t>隐藏）：必须本院执业中医师登录编辑、保存审核</w:t>
      </w:r>
      <w:r>
        <w:rPr>
          <w:rFonts w:hint="eastAsia" w:ascii="Times New Roman" w:hAnsi="Times New Roman" w:eastAsia="宋体" w:cs="Times New Roman"/>
          <w:color w:val="000000"/>
          <w:sz w:val="24"/>
          <w:szCs w:val="24"/>
          <w:highlight w:val="none"/>
          <w:lang w:val="en-US" w:eastAsia="zh-CN"/>
        </w:rPr>
        <w:t>后给出</w:t>
      </w:r>
      <w:r>
        <w:rPr>
          <w:rFonts w:hint="eastAsia" w:ascii="Times New Roman" w:hAnsi="Times New Roman" w:eastAsia="宋体" w:cs="Times New Roman"/>
          <w:color w:val="000000"/>
          <w:sz w:val="24"/>
          <w:szCs w:val="24"/>
          <w:highlight w:val="none"/>
        </w:rPr>
        <w:t>才会显示；无医师审核记录，本区域空白不打印；</w:t>
      </w:r>
    </w:p>
    <w:p w14:paraId="206CE7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3.2</w:t>
      </w:r>
      <w:r>
        <w:rPr>
          <w:rFonts w:hint="eastAsia" w:ascii="Times New Roman" w:hAnsi="Times New Roman" w:eastAsia="宋体" w:cs="Times New Roman"/>
          <w:color w:val="000000"/>
          <w:sz w:val="24"/>
          <w:szCs w:val="24"/>
          <w:highlight w:val="none"/>
        </w:rPr>
        <w:t>报告首页固定免责声明，不可删除、缩小；支持替换医院 LOGO、科室联系方式；</w:t>
      </w:r>
    </w:p>
    <w:p w14:paraId="439D34A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3.3报告输出模板及内容可由</w:t>
      </w:r>
      <w:r>
        <w:rPr>
          <w:rFonts w:hint="eastAsia" w:ascii="Times New Roman" w:hAnsi="Times New Roman" w:eastAsia="宋体" w:cs="Times New Roman"/>
          <w:color w:val="000000"/>
          <w:sz w:val="24"/>
          <w:szCs w:val="24"/>
          <w:highlight w:val="none"/>
        </w:rPr>
        <w:t>医师</w:t>
      </w:r>
      <w:r>
        <w:rPr>
          <w:rFonts w:hint="eastAsia" w:ascii="Times New Roman" w:hAnsi="Times New Roman" w:eastAsia="宋体" w:cs="Times New Roman"/>
          <w:color w:val="000000"/>
          <w:sz w:val="24"/>
          <w:szCs w:val="24"/>
          <w:highlight w:val="none"/>
          <w:lang w:val="en-US" w:eastAsia="zh-CN"/>
        </w:rPr>
        <w:t>自定义编辑调整；</w:t>
      </w:r>
    </w:p>
    <w:p w14:paraId="2FE27F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highlight w:val="none"/>
        </w:rPr>
      </w:pPr>
      <w:r>
        <w:rPr>
          <w:rFonts w:hint="eastAsia" w:ascii="Times New Roman" w:hAnsi="Times New Roman" w:eastAsia="宋体" w:cs="Times New Roman"/>
          <w:color w:val="000000"/>
          <w:sz w:val="24"/>
          <w:szCs w:val="24"/>
          <w:highlight w:val="none"/>
          <w:lang w:val="en-US" w:eastAsia="zh-CN"/>
        </w:rPr>
        <w:t>3.4</w:t>
      </w:r>
      <w:r>
        <w:rPr>
          <w:rFonts w:hint="eastAsia" w:ascii="Times New Roman" w:hAnsi="Times New Roman" w:eastAsia="宋体" w:cs="Times New Roman"/>
          <w:color w:val="000000"/>
          <w:sz w:val="24"/>
          <w:szCs w:val="24"/>
          <w:highlight w:val="none"/>
        </w:rPr>
        <w:t>输出方式：本地纸质打印、扫码获取电子 PDF 存档至云端，患者公众号仅</w:t>
      </w:r>
      <w:r>
        <w:rPr>
          <w:rFonts w:hint="eastAsia" w:ascii="Times New Roman" w:hAnsi="Times New Roman" w:eastAsia="宋体" w:cs="Times New Roman"/>
          <w:color w:val="000000"/>
          <w:sz w:val="24"/>
          <w:szCs w:val="24"/>
          <w:highlight w:val="none"/>
          <w:lang w:val="en-US" w:eastAsia="zh-CN"/>
        </w:rPr>
        <w:t>查看已生成的AI体质辨识报告</w:t>
      </w:r>
      <w:r>
        <w:rPr>
          <w:rFonts w:hint="eastAsia" w:ascii="Times New Roman" w:hAnsi="Times New Roman" w:eastAsia="宋体" w:cs="Times New Roman"/>
          <w:color w:val="000000"/>
          <w:sz w:val="24"/>
          <w:szCs w:val="24"/>
          <w:highlight w:val="none"/>
          <w:lang w:eastAsia="zh-CN"/>
        </w:rPr>
        <w:t>。</w:t>
      </w:r>
    </w:p>
    <w:p w14:paraId="6554BB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4、数据对接与存储能力</w:t>
      </w:r>
    </w:p>
    <w:p w14:paraId="200804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4.1</w:t>
      </w:r>
      <w:r>
        <w:rPr>
          <w:color w:val="000000"/>
          <w:sz w:val="24"/>
          <w:szCs w:val="24"/>
          <w:highlight w:val="none"/>
        </w:rPr>
        <w:t>本地 + 云端双存储：设备本地临时缓存数据，检测完成实时自动同步至云诊 AI 平台，断网状态下本地留存记录，恢复网络自动补传；</w:t>
      </w:r>
    </w:p>
    <w:p w14:paraId="0F8AD2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4.2</w:t>
      </w:r>
      <w:r>
        <w:rPr>
          <w:color w:val="000000"/>
          <w:sz w:val="24"/>
          <w:szCs w:val="24"/>
          <w:highlight w:val="none"/>
        </w:rPr>
        <w:t>接口兼容：预留标准化对接接口，可无缝对接医院 HIS 系统、互联网医院、微信公众号平台，实现就诊卡身份互通、报告院内系统调取；</w:t>
      </w:r>
      <w:r>
        <w:rPr>
          <w:rFonts w:hint="eastAsia"/>
          <w:color w:val="000000"/>
          <w:sz w:val="24"/>
          <w:szCs w:val="24"/>
          <w:highlight w:val="none"/>
        </w:rPr>
        <w:t>对接产生的全部开发、调试费用由</w:t>
      </w:r>
      <w:r>
        <w:rPr>
          <w:rFonts w:hint="eastAsia"/>
          <w:color w:val="000000"/>
          <w:sz w:val="24"/>
          <w:szCs w:val="24"/>
          <w:highlight w:val="none"/>
          <w:lang w:val="en-US" w:eastAsia="zh-CN"/>
        </w:rPr>
        <w:t>成交</w:t>
      </w:r>
      <w:r>
        <w:rPr>
          <w:rFonts w:hint="eastAsia"/>
          <w:color w:val="000000"/>
          <w:sz w:val="24"/>
          <w:szCs w:val="24"/>
          <w:highlight w:val="none"/>
          <w:lang w:eastAsia="zh-CN"/>
        </w:rPr>
        <w:t>供应商</w:t>
      </w:r>
      <w:r>
        <w:rPr>
          <w:rFonts w:hint="eastAsia"/>
          <w:color w:val="000000"/>
          <w:sz w:val="24"/>
          <w:szCs w:val="24"/>
          <w:highlight w:val="none"/>
        </w:rPr>
        <w:t>全额承担；</w:t>
      </w:r>
    </w:p>
    <w:p w14:paraId="551A064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heme="minorEastAsia" w:hAnsiTheme="minorEastAsia" w:eastAsiaTheme="minorEastAsia" w:cstheme="minorEastAsia"/>
          <w:b/>
          <w:bCs/>
          <w:color w:val="FF0000"/>
          <w:kern w:val="0"/>
          <w:sz w:val="24"/>
          <w:szCs w:val="24"/>
          <w:lang w:val="en-US" w:eastAsia="zh-CN" w:bidi="ar"/>
        </w:rPr>
      </w:pPr>
      <w:r>
        <w:rPr>
          <w:rFonts w:hint="eastAsia"/>
          <w:color w:val="000000"/>
          <w:sz w:val="24"/>
          <w:szCs w:val="24"/>
          <w:highlight w:val="none"/>
          <w:lang w:val="en-US" w:eastAsia="zh-CN"/>
        </w:rPr>
        <w:t>4.3</w:t>
      </w:r>
      <w:r>
        <w:rPr>
          <w:color w:val="000000"/>
          <w:sz w:val="24"/>
          <w:szCs w:val="24"/>
          <w:highlight w:val="none"/>
        </w:rPr>
        <w:t>档案绑定：支持输入患者身份证号、手机号绑定院内健康</w:t>
      </w:r>
      <w:r>
        <w:rPr>
          <w:color w:val="000000"/>
          <w:sz w:val="24"/>
          <w:szCs w:val="24"/>
        </w:rPr>
        <w:t>档案，检测记录与院内现有患者档案关联</w:t>
      </w:r>
      <w:r>
        <w:rPr>
          <w:rFonts w:hint="eastAsia"/>
          <w:color w:val="000000"/>
          <w:sz w:val="24"/>
          <w:szCs w:val="24"/>
          <w:lang w:eastAsia="zh-CN"/>
        </w:rPr>
        <w:t>（</w:t>
      </w:r>
      <w:r>
        <w:rPr>
          <w:rFonts w:hint="eastAsia"/>
          <w:color w:val="000000"/>
          <w:sz w:val="24"/>
          <w:szCs w:val="24"/>
          <w:lang w:val="en-US" w:eastAsia="zh-CN"/>
        </w:rPr>
        <w:t>预留）</w:t>
      </w:r>
      <w:r>
        <w:rPr>
          <w:color w:val="000000"/>
          <w:sz w:val="24"/>
          <w:szCs w:val="24"/>
        </w:rPr>
        <w:t>。</w:t>
      </w:r>
    </w:p>
    <w:p w14:paraId="4C721A03">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 xml:space="preserve">注： </w:t>
      </w:r>
    </w:p>
    <w:p w14:paraId="26B42D9A">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1、如果在技术参数或配置中标明了品牌或产地，则仅供参考，并非指定，</w:t>
      </w:r>
      <w:r>
        <w:rPr>
          <w:rFonts w:hint="eastAsia" w:asciiTheme="minorEastAsia" w:hAnsiTheme="minorEastAsia" w:cstheme="minorEastAsia"/>
          <w:b/>
          <w:bCs/>
          <w:color w:val="FF0000"/>
          <w:kern w:val="0"/>
          <w:sz w:val="24"/>
          <w:szCs w:val="24"/>
          <w:lang w:val="en-US" w:eastAsia="zh-CN" w:bidi="ar"/>
        </w:rPr>
        <w:t>采购</w:t>
      </w:r>
      <w:r>
        <w:rPr>
          <w:rFonts w:hint="eastAsia" w:asciiTheme="minorEastAsia" w:hAnsiTheme="minorEastAsia" w:eastAsiaTheme="minorEastAsia" w:cstheme="minorEastAsia"/>
          <w:b/>
          <w:bCs/>
          <w:color w:val="FF0000"/>
          <w:kern w:val="0"/>
          <w:sz w:val="24"/>
          <w:szCs w:val="24"/>
          <w:lang w:val="en-US" w:eastAsia="zh-CN" w:bidi="ar"/>
        </w:rPr>
        <w:t xml:space="preserve"> </w:t>
      </w:r>
    </w:p>
    <w:p w14:paraId="18F44F5A">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人可以选用替代的方案，但这种替代整体上要优于或相当于</w:t>
      </w:r>
      <w:r>
        <w:rPr>
          <w:rFonts w:hint="eastAsia" w:asciiTheme="minorEastAsia" w:hAnsiTheme="minorEastAsia" w:cstheme="minorEastAsia"/>
          <w:b/>
          <w:bCs/>
          <w:color w:val="FF0000"/>
          <w:kern w:val="0"/>
          <w:sz w:val="24"/>
          <w:szCs w:val="24"/>
          <w:lang w:val="en-US" w:eastAsia="zh-CN" w:bidi="ar"/>
        </w:rPr>
        <w:t>磋商</w:t>
      </w:r>
      <w:r>
        <w:rPr>
          <w:rFonts w:hint="eastAsia" w:asciiTheme="minorEastAsia" w:hAnsiTheme="minorEastAsia" w:eastAsiaTheme="minorEastAsia" w:cstheme="minorEastAsia"/>
          <w:b/>
          <w:bCs/>
          <w:color w:val="FF0000"/>
          <w:kern w:val="0"/>
          <w:sz w:val="24"/>
          <w:szCs w:val="24"/>
          <w:lang w:val="en-US" w:eastAsia="zh-CN" w:bidi="ar"/>
        </w:rPr>
        <w:t xml:space="preserve">文件的相关要 </w:t>
      </w:r>
    </w:p>
    <w:p w14:paraId="00A184A8">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 xml:space="preserve">求。 </w:t>
      </w:r>
    </w:p>
    <w:p w14:paraId="2533E4C8">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 xml:space="preserve">2、为鼓励不同品牌的充分竞争，如某货物的某技术参数或要求属于个别品牌专 </w:t>
      </w:r>
    </w:p>
    <w:p w14:paraId="71B28C2A">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有，则该技术参数及要求不具有限制性，</w:t>
      </w:r>
      <w:r>
        <w:rPr>
          <w:rFonts w:hint="eastAsia" w:asciiTheme="minorEastAsia" w:hAnsiTheme="minorEastAsia" w:cstheme="minorEastAsia"/>
          <w:b/>
          <w:bCs/>
          <w:color w:val="FF0000"/>
          <w:kern w:val="0"/>
          <w:sz w:val="24"/>
          <w:szCs w:val="24"/>
          <w:lang w:val="en-US" w:eastAsia="zh-CN" w:bidi="ar"/>
        </w:rPr>
        <w:t>供应商</w:t>
      </w:r>
      <w:r>
        <w:rPr>
          <w:rFonts w:hint="eastAsia" w:asciiTheme="minorEastAsia" w:hAnsiTheme="minorEastAsia" w:eastAsiaTheme="minorEastAsia" w:cstheme="minorEastAsia"/>
          <w:b/>
          <w:bCs/>
          <w:color w:val="FF0000"/>
          <w:kern w:val="0"/>
          <w:sz w:val="24"/>
          <w:szCs w:val="24"/>
          <w:lang w:val="en-US" w:eastAsia="zh-CN" w:bidi="ar"/>
        </w:rPr>
        <w:t xml:space="preserve">可对该参数或要求进行适当调 </w:t>
      </w:r>
    </w:p>
    <w:p w14:paraId="1365F0E5">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整，并应当在</w:t>
      </w:r>
      <w:r>
        <w:rPr>
          <w:rFonts w:hint="eastAsia" w:asciiTheme="minorEastAsia" w:hAnsiTheme="minorEastAsia" w:cstheme="minorEastAsia"/>
          <w:b/>
          <w:bCs/>
          <w:color w:val="FF0000"/>
          <w:kern w:val="0"/>
          <w:sz w:val="24"/>
          <w:szCs w:val="24"/>
          <w:lang w:val="en-US" w:eastAsia="zh-CN" w:bidi="ar"/>
        </w:rPr>
        <w:t>响应文件</w:t>
      </w:r>
      <w:r>
        <w:rPr>
          <w:rFonts w:hint="eastAsia" w:asciiTheme="minorEastAsia" w:hAnsiTheme="minorEastAsia" w:eastAsiaTheme="minorEastAsia" w:cstheme="minorEastAsia"/>
          <w:b/>
          <w:bCs/>
          <w:color w:val="FF0000"/>
          <w:kern w:val="0"/>
          <w:sz w:val="24"/>
          <w:szCs w:val="24"/>
          <w:lang w:val="en-US" w:eastAsia="zh-CN" w:bidi="ar"/>
        </w:rPr>
        <w:t xml:space="preserve">中说明调整的理由，且该调整须经评委会审核认可。 </w:t>
      </w:r>
    </w:p>
    <w:p w14:paraId="72AF80AD">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 xml:space="preserve">3、所有描述为“支持”的，均表示具备、配置、提供、实现等意思，是要满足技 术参数的要求。 </w:t>
      </w:r>
    </w:p>
    <w:p w14:paraId="66B07114">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FF0000"/>
          <w:kern w:val="0"/>
          <w:sz w:val="24"/>
          <w:szCs w:val="24"/>
          <w:lang w:val="en-US" w:eastAsia="zh-CN" w:bidi="ar"/>
        </w:rPr>
        <w:t>4、</w:t>
      </w:r>
      <w:r>
        <w:rPr>
          <w:rFonts w:hint="eastAsia" w:asciiTheme="minorEastAsia" w:hAnsiTheme="minorEastAsia" w:cstheme="minorEastAsia"/>
          <w:b/>
          <w:bCs/>
          <w:color w:val="FF0000"/>
          <w:kern w:val="0"/>
          <w:sz w:val="24"/>
          <w:szCs w:val="24"/>
          <w:lang w:val="en-US" w:eastAsia="zh-CN" w:bidi="ar"/>
        </w:rPr>
        <w:t>供应商</w:t>
      </w:r>
      <w:r>
        <w:rPr>
          <w:rFonts w:hint="eastAsia" w:asciiTheme="minorEastAsia" w:hAnsiTheme="minorEastAsia" w:eastAsiaTheme="minorEastAsia" w:cstheme="minorEastAsia"/>
          <w:b/>
          <w:bCs/>
          <w:color w:val="FF0000"/>
          <w:kern w:val="0"/>
          <w:sz w:val="24"/>
          <w:szCs w:val="24"/>
          <w:lang w:val="en-US" w:eastAsia="zh-CN" w:bidi="ar"/>
        </w:rPr>
        <w:t>所报单价不得高于</w:t>
      </w:r>
      <w:r>
        <w:rPr>
          <w:rFonts w:hint="eastAsia" w:asciiTheme="minorEastAsia" w:hAnsiTheme="minorEastAsia" w:cstheme="minorEastAsia"/>
          <w:b/>
          <w:bCs/>
          <w:color w:val="FF0000"/>
          <w:kern w:val="0"/>
          <w:sz w:val="24"/>
          <w:szCs w:val="24"/>
          <w:lang w:val="en-US" w:eastAsia="zh-CN" w:bidi="ar"/>
        </w:rPr>
        <w:t>磋商</w:t>
      </w:r>
      <w:r>
        <w:rPr>
          <w:rFonts w:hint="eastAsia" w:asciiTheme="minorEastAsia" w:hAnsiTheme="minorEastAsia" w:eastAsiaTheme="minorEastAsia" w:cstheme="minorEastAsia"/>
          <w:b/>
          <w:bCs/>
          <w:color w:val="FF0000"/>
          <w:kern w:val="0"/>
          <w:sz w:val="24"/>
          <w:szCs w:val="24"/>
          <w:lang w:val="en-US" w:eastAsia="zh-CN" w:bidi="ar"/>
        </w:rPr>
        <w:t>文件中规定的最高单价，否则评委会做出</w:t>
      </w:r>
      <w:r>
        <w:rPr>
          <w:rFonts w:hint="eastAsia" w:asciiTheme="minorEastAsia" w:hAnsiTheme="minorEastAsia" w:cstheme="minorEastAsia"/>
          <w:b/>
          <w:bCs/>
          <w:color w:val="FF0000"/>
          <w:kern w:val="0"/>
          <w:sz w:val="24"/>
          <w:szCs w:val="24"/>
          <w:lang w:val="en-US" w:eastAsia="zh-CN" w:bidi="ar"/>
        </w:rPr>
        <w:t>响应</w:t>
      </w:r>
      <w:r>
        <w:rPr>
          <w:rFonts w:hint="eastAsia" w:asciiTheme="minorEastAsia" w:hAnsiTheme="minorEastAsia" w:eastAsiaTheme="minorEastAsia" w:cstheme="minorEastAsia"/>
          <w:b/>
          <w:bCs/>
          <w:color w:val="FF0000"/>
          <w:kern w:val="0"/>
          <w:sz w:val="24"/>
          <w:szCs w:val="24"/>
          <w:lang w:val="en-US" w:eastAsia="zh-CN" w:bidi="ar"/>
        </w:rPr>
        <w:t xml:space="preserve"> </w:t>
      </w:r>
    </w:p>
    <w:p w14:paraId="3246214E">
      <w:pPr>
        <w:keepNext w:val="0"/>
        <w:keepLines w:val="0"/>
        <w:pageBreakBefore w:val="0"/>
        <w:widowControl/>
        <w:suppressLineNumbers w:val="0"/>
        <w:kinsoku/>
        <w:wordWrap/>
        <w:overflowPunct/>
        <w:topLinePunct w:val="0"/>
        <w:bidi w:val="0"/>
        <w:spacing w:line="440" w:lineRule="exact"/>
        <w:jc w:val="both"/>
        <w:textAlignment w:val="auto"/>
        <w:rPr>
          <w:rFonts w:hint="eastAsia" w:asciiTheme="minorEastAsia" w:hAnsiTheme="minorEastAsia" w:eastAsiaTheme="minorEastAsia" w:cstheme="minorEastAsia"/>
          <w:b/>
          <w:bCs/>
          <w:color w:val="FF0000"/>
          <w:kern w:val="0"/>
          <w:sz w:val="24"/>
          <w:szCs w:val="24"/>
          <w:lang w:val="en-US" w:eastAsia="zh-CN" w:bidi="ar"/>
        </w:rPr>
      </w:pPr>
      <w:r>
        <w:rPr>
          <w:rFonts w:hint="eastAsia" w:asciiTheme="minorEastAsia" w:hAnsiTheme="minorEastAsia" w:eastAsiaTheme="minorEastAsia" w:cstheme="minorEastAsia"/>
          <w:b/>
          <w:bCs/>
          <w:color w:val="FF0000"/>
          <w:kern w:val="0"/>
          <w:sz w:val="24"/>
          <w:szCs w:val="24"/>
          <w:lang w:val="en-US" w:eastAsia="zh-CN" w:bidi="ar"/>
        </w:rPr>
        <w:t>无效处理。</w:t>
      </w:r>
    </w:p>
    <w:p w14:paraId="359303FA">
      <w:pPr>
        <w:keepNext w:val="0"/>
        <w:keepLines w:val="0"/>
        <w:pageBreakBefore w:val="0"/>
        <w:numPr>
          <w:ilvl w:val="0"/>
          <w:numId w:val="1"/>
        </w:numPr>
        <w:tabs>
          <w:tab w:val="left" w:pos="1050"/>
        </w:tabs>
        <w:kinsoku/>
        <w:wordWrap/>
        <w:overflowPunct/>
        <w:topLinePunct w:val="0"/>
        <w:bidi w:val="0"/>
        <w:spacing w:line="440" w:lineRule="exact"/>
        <w:outlineLvl w:val="2"/>
        <w:rPr>
          <w:rFonts w:hint="eastAsia" w:ascii="宋体" w:hAnsi="宋体" w:cs="宋体"/>
          <w:b/>
          <w:color w:val="FF0000"/>
          <w:sz w:val="24"/>
          <w:szCs w:val="24"/>
          <w:highlight w:val="yellow"/>
        </w:rPr>
      </w:pPr>
      <w:r>
        <w:rPr>
          <w:rFonts w:hint="eastAsia" w:ascii="宋体" w:hAnsi="宋体" w:cs="宋体"/>
          <w:b/>
          <w:color w:val="FF0000"/>
          <w:sz w:val="24"/>
          <w:szCs w:val="24"/>
          <w:highlight w:val="yellow"/>
          <w:lang w:val="en-US" w:eastAsia="zh-CN"/>
        </w:rPr>
        <w:t>磋商</w:t>
      </w:r>
      <w:r>
        <w:rPr>
          <w:rFonts w:hint="eastAsia" w:ascii="宋体" w:hAnsi="宋体" w:cs="宋体"/>
          <w:b/>
          <w:color w:val="FF0000"/>
          <w:sz w:val="24"/>
          <w:szCs w:val="24"/>
          <w:highlight w:val="yellow"/>
        </w:rPr>
        <w:t>文件中用“</w:t>
      </w:r>
      <w:r>
        <w:rPr>
          <w:rFonts w:hint="eastAsia" w:ascii="宋体" w:hAnsi="宋体" w:cs="宋体"/>
          <w:b/>
          <w:sz w:val="24"/>
          <w:szCs w:val="24"/>
          <w:highlight w:val="yellow"/>
        </w:rPr>
        <w:t>★</w:t>
      </w:r>
      <w:r>
        <w:rPr>
          <w:rFonts w:hint="eastAsia" w:ascii="宋体" w:hAnsi="宋体" w:cs="宋体"/>
          <w:b/>
          <w:color w:val="FF0000"/>
          <w:sz w:val="24"/>
          <w:szCs w:val="24"/>
          <w:highlight w:val="yellow"/>
        </w:rPr>
        <w:t>”标注的技术参数为不允许负偏离的实质性要求和条件（如果采购文件中有标注“</w:t>
      </w:r>
      <w:r>
        <w:rPr>
          <w:rFonts w:hint="eastAsia" w:ascii="宋体" w:hAnsi="宋体" w:cs="宋体"/>
          <w:b/>
          <w:sz w:val="24"/>
          <w:szCs w:val="24"/>
          <w:highlight w:val="yellow"/>
        </w:rPr>
        <w:t>★</w:t>
      </w:r>
      <w:r>
        <w:rPr>
          <w:rFonts w:hint="eastAsia" w:ascii="宋体" w:hAnsi="宋体" w:cs="宋体"/>
          <w:b/>
          <w:color w:val="FF0000"/>
          <w:sz w:val="24"/>
          <w:szCs w:val="24"/>
          <w:highlight w:val="yellow"/>
        </w:rPr>
        <w:t>”的技术参数）。供应商对用“</w:t>
      </w:r>
      <w:r>
        <w:rPr>
          <w:rFonts w:hint="eastAsia" w:ascii="宋体" w:hAnsi="宋体" w:cs="宋体"/>
          <w:b/>
          <w:sz w:val="24"/>
          <w:szCs w:val="24"/>
          <w:highlight w:val="yellow"/>
        </w:rPr>
        <w:t>★</w:t>
      </w:r>
      <w:r>
        <w:rPr>
          <w:rFonts w:hint="eastAsia" w:ascii="宋体" w:hAnsi="宋体" w:cs="宋体"/>
          <w:b/>
          <w:color w:val="FF0000"/>
          <w:sz w:val="24"/>
          <w:szCs w:val="24"/>
          <w:highlight w:val="yellow"/>
        </w:rPr>
        <w:t>”标注的技术参数的响应情况须在响应文件中提供相应的证明材料予以证明。否则，评审小组视为对</w:t>
      </w:r>
      <w:r>
        <w:rPr>
          <w:rFonts w:hint="eastAsia" w:ascii="宋体" w:hAnsi="宋体" w:cs="宋体"/>
          <w:b/>
          <w:color w:val="FF0000"/>
          <w:sz w:val="24"/>
          <w:szCs w:val="24"/>
          <w:highlight w:val="yellow"/>
          <w:lang w:val="en-US" w:eastAsia="zh-CN"/>
        </w:rPr>
        <w:t>磋商</w:t>
      </w:r>
      <w:r>
        <w:rPr>
          <w:rFonts w:hint="eastAsia" w:ascii="宋体" w:hAnsi="宋体" w:cs="宋体"/>
          <w:b/>
          <w:color w:val="FF0000"/>
          <w:sz w:val="24"/>
          <w:szCs w:val="24"/>
          <w:highlight w:val="yellow"/>
        </w:rPr>
        <w:t>文件中用“</w:t>
      </w:r>
      <w:r>
        <w:rPr>
          <w:rFonts w:hint="eastAsia" w:ascii="宋体" w:hAnsi="宋体" w:cs="宋体"/>
          <w:b/>
          <w:sz w:val="24"/>
          <w:szCs w:val="24"/>
          <w:highlight w:val="yellow"/>
        </w:rPr>
        <w:t>★</w:t>
      </w:r>
      <w:r>
        <w:rPr>
          <w:rFonts w:hint="eastAsia" w:ascii="宋体" w:hAnsi="宋体" w:cs="宋体"/>
          <w:b/>
          <w:color w:val="FF0000"/>
          <w:sz w:val="24"/>
          <w:szCs w:val="24"/>
          <w:highlight w:val="yellow"/>
        </w:rPr>
        <w:t>”标注的技术参数出现负偏离。</w:t>
      </w:r>
    </w:p>
    <w:p w14:paraId="3BBE7563">
      <w:pPr>
        <w:keepNext w:val="0"/>
        <w:keepLines w:val="0"/>
        <w:pageBreakBefore w:val="0"/>
        <w:numPr>
          <w:ilvl w:val="0"/>
          <w:numId w:val="1"/>
        </w:numPr>
        <w:tabs>
          <w:tab w:val="left" w:pos="1050"/>
        </w:tabs>
        <w:kinsoku/>
        <w:wordWrap/>
        <w:overflowPunct/>
        <w:topLinePunct w:val="0"/>
        <w:bidi w:val="0"/>
        <w:spacing w:line="440" w:lineRule="exact"/>
        <w:outlineLvl w:val="2"/>
        <w:rPr>
          <w:rFonts w:hint="default"/>
          <w:lang w:val="en-US"/>
        </w:rPr>
      </w:pPr>
      <w:r>
        <w:rPr>
          <w:rFonts w:hint="eastAsia" w:ascii="宋体" w:hAnsi="宋体" w:cs="宋体"/>
          <w:b/>
          <w:bCs/>
          <w:color w:val="FF0000"/>
          <w:kern w:val="0"/>
          <w:sz w:val="24"/>
          <w:szCs w:val="24"/>
        </w:rPr>
        <w:t>提供的相关技术证明文件是指：</w:t>
      </w:r>
      <w:r>
        <w:rPr>
          <w:rFonts w:hint="eastAsia" w:ascii="宋体" w:hAnsi="宋体" w:cs="宋体"/>
          <w:b/>
          <w:bCs/>
          <w:color w:val="FF0000"/>
          <w:kern w:val="0"/>
          <w:sz w:val="24"/>
          <w:szCs w:val="24"/>
          <w:highlight w:val="green"/>
        </w:rPr>
        <w:t>医疗器械注册证、第三方检测报告、产品说明书、产品彩页</w:t>
      </w:r>
      <w:r>
        <w:rPr>
          <w:rFonts w:hint="eastAsia" w:ascii="宋体" w:hAnsi="宋体" w:cs="宋体"/>
          <w:b/>
          <w:bCs/>
          <w:color w:val="FF0000"/>
          <w:kern w:val="0"/>
          <w:sz w:val="24"/>
          <w:szCs w:val="24"/>
          <w:highlight w:val="green"/>
          <w:lang w:eastAsia="zh-CN"/>
        </w:rPr>
        <w:t>、</w:t>
      </w:r>
      <w:r>
        <w:rPr>
          <w:rFonts w:hint="eastAsia" w:ascii="宋体" w:hAnsi="宋体" w:cs="宋体"/>
          <w:b/>
          <w:bCs/>
          <w:color w:val="FF0000"/>
          <w:kern w:val="0"/>
          <w:sz w:val="24"/>
          <w:szCs w:val="24"/>
          <w:highlight w:val="green"/>
          <w:lang w:val="en-US" w:eastAsia="zh-CN"/>
        </w:rPr>
        <w:t>技术白皮书、软件截图</w:t>
      </w:r>
      <w:r>
        <w:rPr>
          <w:rFonts w:hint="eastAsia" w:ascii="宋体" w:hAnsi="宋体" w:cs="宋体"/>
          <w:b/>
          <w:bCs/>
          <w:color w:val="FF0000"/>
          <w:kern w:val="0"/>
          <w:sz w:val="24"/>
          <w:szCs w:val="24"/>
        </w:rPr>
        <w:t>，提供其中之一即可</w:t>
      </w:r>
    </w:p>
    <w:p w14:paraId="6353E357">
      <w:pPr>
        <w:keepNext w:val="0"/>
        <w:keepLines w:val="0"/>
        <w:pageBreakBefore w:val="0"/>
        <w:numPr>
          <w:ilvl w:val="0"/>
          <w:numId w:val="0"/>
        </w:numPr>
        <w:tabs>
          <w:tab w:val="left" w:pos="1050"/>
        </w:tabs>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kern w:val="2"/>
          <w:sz w:val="24"/>
          <w:szCs w:val="24"/>
          <w:lang w:val="en-US" w:eastAsia="zh-CN" w:bidi="ar-SA"/>
        </w:rPr>
        <w:t>（二）</w:t>
      </w:r>
      <w:r>
        <w:rPr>
          <w:rFonts w:hint="eastAsia" w:asciiTheme="minorEastAsia" w:hAnsiTheme="minorEastAsia" w:eastAsiaTheme="minorEastAsia" w:cstheme="minorEastAsia"/>
          <w:b/>
          <w:sz w:val="24"/>
          <w:szCs w:val="24"/>
          <w:lang w:val="en-US" w:eastAsia="zh-CN"/>
        </w:rPr>
        <w:t>软件清单</w:t>
      </w:r>
    </w:p>
    <w:p w14:paraId="4EA6CEEC">
      <w:pPr>
        <w:keepNext w:val="0"/>
        <w:keepLines w:val="0"/>
        <w:pageBreakBefore w:val="0"/>
        <w:widowControl/>
        <w:suppressLineNumbers w:val="0"/>
        <w:kinsoku/>
        <w:wordWrap/>
        <w:overflowPunct/>
        <w:topLinePunct w:val="0"/>
        <w:bidi w:val="0"/>
        <w:spacing w:line="440" w:lineRule="exact"/>
        <w:jc w:val="center"/>
        <w:textAlignment w:val="auto"/>
        <w:rPr>
          <w:rFonts w:hint="eastAsia" w:asciiTheme="minorEastAsia" w:hAnsiTheme="minorEastAsia" w:eastAsiaTheme="minorEastAsia" w:cstheme="minorEastAsia"/>
          <w:b/>
          <w:sz w:val="24"/>
          <w:szCs w:val="24"/>
          <w:highlight w:val="yellow"/>
          <w:lang w:val="en-US" w:eastAsia="zh-CN"/>
        </w:rPr>
      </w:pPr>
      <w:r>
        <w:rPr>
          <w:rFonts w:hint="eastAsia" w:asciiTheme="minorEastAsia" w:hAnsiTheme="minorEastAsia" w:eastAsiaTheme="minorEastAsia" w:cstheme="minorEastAsia"/>
          <w:b/>
          <w:bCs/>
          <w:color w:val="FF0000"/>
          <w:kern w:val="0"/>
          <w:sz w:val="24"/>
          <w:szCs w:val="24"/>
          <w:highlight w:val="yellow"/>
          <w:lang w:val="en-US" w:eastAsia="zh-CN" w:bidi="ar"/>
        </w:rPr>
        <w:t>（以下为不允许负偏离的实质性要求和条件）</w:t>
      </w:r>
    </w:p>
    <w:tbl>
      <w:tblPr>
        <w:tblStyle w:val="24"/>
        <w:tblW w:w="83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36"/>
        <w:gridCol w:w="734"/>
        <w:gridCol w:w="2545"/>
      </w:tblGrid>
      <w:tr w14:paraId="27BD2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Align w:val="center"/>
          </w:tcPr>
          <w:p w14:paraId="710A1A1C">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bCs/>
                <w:spacing w:val="-4"/>
                <w:sz w:val="24"/>
                <w:szCs w:val="24"/>
              </w:rPr>
              <w:t>服务</w:t>
            </w:r>
            <w:r>
              <w:rPr>
                <w:rFonts w:hint="eastAsia" w:asciiTheme="minorEastAsia" w:hAnsiTheme="minorEastAsia" w:eastAsiaTheme="minorEastAsia" w:cstheme="minorEastAsia"/>
                <w:b/>
                <w:bCs/>
                <w:spacing w:val="-4"/>
                <w:sz w:val="24"/>
                <w:szCs w:val="24"/>
                <w:lang w:val="en-US" w:eastAsia="zh-CN"/>
              </w:rPr>
              <w:t>名称</w:t>
            </w:r>
          </w:p>
        </w:tc>
        <w:tc>
          <w:tcPr>
            <w:tcW w:w="0" w:type="auto"/>
            <w:vAlign w:val="center"/>
          </w:tcPr>
          <w:p w14:paraId="2C18EFA7">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pacing w:val="-7"/>
                <w:sz w:val="24"/>
                <w:szCs w:val="24"/>
              </w:rPr>
              <w:t>数量</w:t>
            </w:r>
          </w:p>
        </w:tc>
        <w:tc>
          <w:tcPr>
            <w:tcW w:w="2545" w:type="dxa"/>
            <w:vAlign w:val="center"/>
          </w:tcPr>
          <w:p w14:paraId="63F497DB">
            <w:pPr>
              <w:pStyle w:val="22"/>
              <w:keepNext w:val="0"/>
              <w:keepLines w:val="0"/>
              <w:pageBreakBefore w:val="0"/>
              <w:kinsoku/>
              <w:wordWrap/>
              <w:overflowPunct/>
              <w:topLinePunct w:val="0"/>
              <w:bidi w:val="0"/>
              <w:snapToGrid w:val="0"/>
              <w:spacing w:line="440" w:lineRule="exact"/>
              <w:ind w:left="0" w:leftChars="0" w:right="0" w:rightChars="0" w:firstLine="0" w:firstLineChars="0"/>
              <w:jc w:val="center"/>
              <w:textAlignment w:val="auto"/>
              <w:rPr>
                <w:rFonts w:hint="eastAsia" w:asciiTheme="minorEastAsia" w:hAnsiTheme="minorEastAsia" w:eastAsiaTheme="minorEastAsia" w:cstheme="minorEastAsia"/>
                <w:b/>
                <w:bCs/>
                <w:spacing w:val="-7"/>
                <w:sz w:val="24"/>
                <w:szCs w:val="24"/>
                <w:lang w:val="en-US" w:eastAsia="zh-CN"/>
              </w:rPr>
            </w:pPr>
            <w:r>
              <w:rPr>
                <w:rFonts w:hint="eastAsia" w:asciiTheme="minorEastAsia" w:hAnsiTheme="minorEastAsia" w:eastAsiaTheme="minorEastAsia" w:cstheme="minorEastAsia"/>
                <w:b/>
                <w:bCs/>
                <w:spacing w:val="-7"/>
                <w:sz w:val="24"/>
                <w:szCs w:val="24"/>
                <w:lang w:val="en-US" w:eastAsia="zh-CN"/>
              </w:rPr>
              <w:t>最高单价（元）</w:t>
            </w:r>
          </w:p>
        </w:tc>
      </w:tr>
      <w:tr w14:paraId="13F5C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jc w:val="center"/>
        </w:trPr>
        <w:tc>
          <w:tcPr>
            <w:tcW w:w="5036" w:type="dxa"/>
            <w:vAlign w:val="center"/>
          </w:tcPr>
          <w:p w14:paraId="566B9AA9">
            <w:pPr>
              <w:pStyle w:val="3"/>
              <w:keepNext w:val="0"/>
              <w:keepLines w:val="0"/>
              <w:pageBreakBefore w:val="0"/>
              <w:kinsoku/>
              <w:wordWrap/>
              <w:overflowPunct/>
              <w:topLinePunct w:val="0"/>
              <w:bidi w:val="0"/>
              <w:snapToGrid w:val="0"/>
              <w:spacing w:line="440" w:lineRule="exact"/>
              <w:jc w:val="center"/>
              <w:rPr>
                <w:rFonts w:hint="eastAsia" w:ascii="Calibri" w:eastAsia="宋体" w:hAnsiTheme="minorEastAsia" w:cstheme="minorEastAsia"/>
                <w:sz w:val="21"/>
                <w:szCs w:val="24"/>
                <w:lang w:val="en-US" w:eastAsia="zh-CN"/>
              </w:rPr>
            </w:pPr>
            <w:r>
              <w:rPr>
                <w:rFonts w:hint="eastAsia" w:ascii="Calibri" w:eastAsia="宋体"/>
                <w:sz w:val="21"/>
                <w:lang w:val="en-US" w:eastAsia="zh-CN"/>
              </w:rPr>
              <w:t>中医人工智能健康状态辨识云服务</w:t>
            </w:r>
          </w:p>
        </w:tc>
        <w:tc>
          <w:tcPr>
            <w:tcW w:w="734" w:type="dxa"/>
            <w:vAlign w:val="center"/>
          </w:tcPr>
          <w:p w14:paraId="5D7AAD84">
            <w:pPr>
              <w:keepNext w:val="0"/>
              <w:keepLines w:val="0"/>
              <w:pageBreakBefore w:val="0"/>
              <w:widowControl/>
              <w:suppressLineNumbers w:val="0"/>
              <w:kinsoku/>
              <w:wordWrap/>
              <w:overflowPunct/>
              <w:topLinePunct w:val="0"/>
              <w:bidi w:val="0"/>
              <w:snapToGrid w:val="0"/>
              <w:spacing w:line="440" w:lineRule="exact"/>
              <w:ind w:left="0" w:leftChars="0" w:right="0" w:rightChars="0" w:firstLine="0" w:firstLineChars="0"/>
              <w:jc w:val="center"/>
              <w:rPr>
                <w:rFonts w:hint="default" w:ascii="Calibri" w:eastAsia="宋体" w:hAnsiTheme="minorEastAsia" w:cstheme="minorEastAsia"/>
                <w:sz w:val="21"/>
                <w:szCs w:val="24"/>
                <w:lang w:val="en-US"/>
              </w:rPr>
            </w:pPr>
            <w:r>
              <w:rPr>
                <w:rFonts w:ascii="Calibri" w:hAnsi="宋体" w:eastAsia="宋体" w:cs="宋体"/>
                <w:kern w:val="0"/>
                <w:sz w:val="21"/>
                <w:szCs w:val="24"/>
                <w:lang w:val="en-US" w:eastAsia="zh-CN" w:bidi="ar"/>
              </w:rPr>
              <w:t>1</w:t>
            </w:r>
            <w:r>
              <w:rPr>
                <w:rFonts w:hint="eastAsia" w:ascii="Calibri" w:hAnsi="宋体" w:eastAsia="宋体" w:cs="宋体"/>
                <w:kern w:val="0"/>
                <w:sz w:val="21"/>
                <w:szCs w:val="24"/>
                <w:lang w:val="en-US" w:eastAsia="zh-CN" w:bidi="ar"/>
              </w:rPr>
              <w:t>套</w:t>
            </w:r>
          </w:p>
        </w:tc>
        <w:tc>
          <w:tcPr>
            <w:tcW w:w="2545" w:type="dxa"/>
            <w:vAlign w:val="center"/>
          </w:tcPr>
          <w:p w14:paraId="63B92A10">
            <w:pPr>
              <w:keepNext w:val="0"/>
              <w:keepLines w:val="0"/>
              <w:pageBreakBefore w:val="0"/>
              <w:widowControl/>
              <w:suppressLineNumbers w:val="0"/>
              <w:kinsoku/>
              <w:wordWrap/>
              <w:overflowPunct/>
              <w:topLinePunct w:val="0"/>
              <w:bidi w:val="0"/>
              <w:snapToGrid w:val="0"/>
              <w:spacing w:line="440" w:lineRule="exact"/>
              <w:ind w:left="0" w:leftChars="0" w:right="0" w:rightChars="0" w:firstLine="0" w:firstLineChars="0"/>
              <w:jc w:val="center"/>
              <w:rPr>
                <w:rFonts w:hint="default" w:ascii="Calibri" w:eastAsia="宋体" w:hAnsiTheme="minorEastAsia" w:cstheme="minorEastAsia"/>
                <w:spacing w:val="-14"/>
                <w:sz w:val="21"/>
                <w:szCs w:val="24"/>
                <w:lang w:val="en-US" w:eastAsia="zh-CN"/>
              </w:rPr>
            </w:pPr>
            <w:r>
              <w:rPr>
                <w:rFonts w:hint="eastAsia" w:ascii="Calibri" w:eastAsia="宋体" w:hAnsiTheme="minorEastAsia" w:cstheme="minorEastAsia"/>
                <w:spacing w:val="-14"/>
                <w:sz w:val="21"/>
                <w:szCs w:val="24"/>
                <w:lang w:val="en-US" w:eastAsia="zh-CN"/>
              </w:rPr>
              <w:t>110000</w:t>
            </w:r>
          </w:p>
        </w:tc>
      </w:tr>
    </w:tbl>
    <w:p w14:paraId="1F1430E4">
      <w:pPr>
        <w:keepNext w:val="0"/>
        <w:keepLines w:val="0"/>
        <w:pageBreakBefore w:val="0"/>
        <w:numPr>
          <w:ilvl w:val="0"/>
          <w:numId w:val="0"/>
        </w:numPr>
        <w:tabs>
          <w:tab w:val="left" w:pos="1050"/>
        </w:tabs>
        <w:kinsoku/>
        <w:wordWrap/>
        <w:overflowPunct/>
        <w:topLinePunct w:val="0"/>
        <w:autoSpaceDE/>
        <w:autoSpaceDN/>
        <w:bidi w:val="0"/>
        <w:spacing w:line="440" w:lineRule="exact"/>
        <w:jc w:val="both"/>
        <w:textAlignment w:val="auto"/>
        <w:rPr>
          <w:rFonts w:hint="eastAsia" w:asciiTheme="minorEastAsia" w:hAnsiTheme="minorEastAsia" w:eastAsiaTheme="minorEastAsia" w:cstheme="minorEastAsia"/>
          <w:b/>
          <w:kern w:val="2"/>
          <w:sz w:val="24"/>
          <w:szCs w:val="24"/>
          <w:lang w:val="en-US" w:eastAsia="zh-CN" w:bidi="ar-SA"/>
        </w:rPr>
      </w:pPr>
    </w:p>
    <w:p w14:paraId="58B398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1、基础运营规则硬性要求</w:t>
      </w:r>
    </w:p>
    <w:p w14:paraId="28E7E9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1.1</w:t>
      </w:r>
      <w:r>
        <w:rPr>
          <w:color w:val="000000"/>
          <w:sz w:val="24"/>
          <w:szCs w:val="24"/>
          <w:highlight w:val="none"/>
        </w:rPr>
        <w:t>线上公众号端：</w:t>
      </w:r>
      <w:r>
        <w:rPr>
          <w:rFonts w:ascii="宋体" w:hAnsi="宋体" w:eastAsia="宋体" w:cs="宋体"/>
          <w:sz w:val="24"/>
          <w:szCs w:val="24"/>
          <w:highlight w:val="none"/>
        </w:rPr>
        <w:t>同一患者绑定的手机号</w:t>
      </w:r>
      <w:r>
        <w:rPr>
          <w:rFonts w:hint="eastAsia" w:ascii="宋体" w:hAnsi="宋体" w:eastAsia="宋体" w:cs="宋体"/>
          <w:sz w:val="24"/>
          <w:szCs w:val="24"/>
          <w:highlight w:val="none"/>
          <w:lang w:val="en-US" w:eastAsia="zh-CN"/>
        </w:rPr>
        <w:t>可以限定免费自测次数</w:t>
      </w:r>
      <w:r>
        <w:rPr>
          <w:rFonts w:ascii="宋体" w:hAnsi="宋体" w:eastAsia="宋体" w:cs="宋体"/>
          <w:sz w:val="24"/>
          <w:szCs w:val="24"/>
          <w:highlight w:val="none"/>
        </w:rPr>
        <w:t>，每日线上自测次数由院方自主后台配置限定，系统按院方设定额度自动管控检测频次。</w:t>
      </w:r>
    </w:p>
    <w:p w14:paraId="69035F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9"/>
        <w:rPr>
          <w:rFonts w:hint="eastAsia" w:ascii="宋体" w:hAnsi="宋体" w:eastAsia="宋体" w:cs="宋体"/>
          <w:b/>
          <w:bCs/>
          <w:color w:val="000000"/>
          <w:kern w:val="0"/>
          <w:sz w:val="24"/>
          <w:szCs w:val="24"/>
          <w:highlight w:val="none"/>
          <w:lang w:val="en-US" w:eastAsia="zh-CN" w:bidi="ar"/>
        </w:rPr>
      </w:pPr>
      <w:r>
        <w:rPr>
          <w:rFonts w:hint="eastAsia"/>
          <w:color w:val="000000"/>
          <w:sz w:val="24"/>
          <w:szCs w:val="24"/>
          <w:highlight w:val="none"/>
          <w:lang w:val="en-US" w:eastAsia="zh-CN"/>
        </w:rPr>
        <w:t>1.2</w:t>
      </w:r>
      <w:r>
        <w:rPr>
          <w:color w:val="000000"/>
          <w:sz w:val="24"/>
          <w:szCs w:val="24"/>
          <w:highlight w:val="none"/>
        </w:rPr>
        <w:t>线上线下数据互通：</w:t>
      </w:r>
      <w:r>
        <w:rPr>
          <w:rFonts w:ascii="宋体" w:hAnsi="宋体" w:eastAsia="宋体" w:cs="宋体"/>
          <w:sz w:val="24"/>
          <w:szCs w:val="24"/>
          <w:highlight w:val="none"/>
        </w:rPr>
        <w:t>线下辨识仪、线上公众号检测记录统一归档至同一患者档案</w:t>
      </w:r>
      <w:r>
        <w:rPr>
          <w:rFonts w:hint="eastAsia" w:ascii="宋体" w:hAnsi="宋体" w:eastAsia="宋体" w:cs="宋体"/>
          <w:sz w:val="24"/>
          <w:szCs w:val="24"/>
          <w:highlight w:val="none"/>
          <w:lang w:eastAsia="zh-CN"/>
        </w:rPr>
        <w:t>。</w:t>
      </w:r>
    </w:p>
    <w:p w14:paraId="5930A6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2、AI 云端辨证引擎能力</w:t>
      </w:r>
    </w:p>
    <w:p w14:paraId="7E19EF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2.1</w:t>
      </w:r>
      <w:r>
        <w:rPr>
          <w:color w:val="000000"/>
          <w:sz w:val="24"/>
          <w:szCs w:val="24"/>
        </w:rPr>
        <w:t>多终端兼容识别：同时支持线下体质辨识仪、微信公众号手机端上传舌面图像，移动端自适应手机摄像头成像，无需专用设备即可完成居家自测；</w:t>
      </w:r>
    </w:p>
    <w:p w14:paraId="4DC645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2.2</w:t>
      </w:r>
      <w:r>
        <w:rPr>
          <w:color w:val="000000"/>
          <w:sz w:val="24"/>
          <w:szCs w:val="24"/>
        </w:rPr>
        <w:t>智能分层问诊：根据患者年龄、性别、</w:t>
      </w:r>
      <w:r>
        <w:rPr>
          <w:rFonts w:hint="eastAsia"/>
          <w:color w:val="000000"/>
          <w:sz w:val="24"/>
          <w:szCs w:val="24"/>
          <w:lang w:val="en-US" w:eastAsia="zh-CN"/>
        </w:rPr>
        <w:t>舌象特征分析</w:t>
      </w:r>
      <w:r>
        <w:rPr>
          <w:color w:val="000000"/>
          <w:sz w:val="24"/>
          <w:szCs w:val="24"/>
        </w:rPr>
        <w:t>自动推送差异化问诊题目，</w:t>
      </w:r>
      <w:r>
        <w:rPr>
          <w:rFonts w:hint="eastAsia"/>
          <w:color w:val="000000"/>
          <w:sz w:val="24"/>
          <w:szCs w:val="24"/>
          <w:lang w:val="en-US" w:eastAsia="zh-CN"/>
        </w:rPr>
        <w:t>提供慢性病分析与</w:t>
      </w:r>
      <w:r>
        <w:rPr>
          <w:color w:val="000000"/>
          <w:sz w:val="24"/>
          <w:szCs w:val="24"/>
        </w:rPr>
        <w:t>妇科</w:t>
      </w:r>
      <w:r>
        <w:rPr>
          <w:rFonts w:hint="eastAsia"/>
          <w:color w:val="000000"/>
          <w:sz w:val="24"/>
          <w:szCs w:val="24"/>
          <w:lang w:val="en-US" w:eastAsia="zh-CN"/>
        </w:rPr>
        <w:t>常见病</w:t>
      </w:r>
      <w:r>
        <w:rPr>
          <w:color w:val="000000"/>
          <w:sz w:val="24"/>
          <w:szCs w:val="24"/>
        </w:rPr>
        <w:t>专项问诊</w:t>
      </w:r>
      <w:r>
        <w:rPr>
          <w:rFonts w:hint="eastAsia"/>
          <w:color w:val="000000"/>
          <w:sz w:val="24"/>
          <w:szCs w:val="24"/>
          <w:lang w:val="en-US" w:eastAsia="zh-CN"/>
        </w:rPr>
        <w:t>模块</w:t>
      </w:r>
      <w:r>
        <w:rPr>
          <w:color w:val="000000"/>
          <w:sz w:val="24"/>
          <w:szCs w:val="24"/>
        </w:rPr>
        <w:t>；</w:t>
      </w:r>
    </w:p>
    <w:p w14:paraId="62B74B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2.3</w:t>
      </w:r>
      <w:r>
        <w:rPr>
          <w:color w:val="000000"/>
          <w:sz w:val="24"/>
          <w:szCs w:val="24"/>
        </w:rPr>
        <w:t>数据融合运算：整合舌象像素特征、面部气色、问卷问诊数据综合辨证，区分单一体质、复合兼夹体质、脏腑虚实三大层级辨证结果。</w:t>
      </w:r>
    </w:p>
    <w:p w14:paraId="29F008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3、医院微信公众号嵌入模块需求</w:t>
      </w:r>
    </w:p>
    <w:p w14:paraId="19A1BF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3.1</w:t>
      </w:r>
      <w:r>
        <w:rPr>
          <w:color w:val="000000"/>
          <w:sz w:val="24"/>
          <w:szCs w:val="24"/>
        </w:rPr>
        <w:t>部署入口：可嵌入公众号，名称支持院方自定义；</w:t>
      </w:r>
    </w:p>
    <w:p w14:paraId="6EC1595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3.2</w:t>
      </w:r>
      <w:r>
        <w:rPr>
          <w:color w:val="000000"/>
          <w:sz w:val="24"/>
          <w:szCs w:val="24"/>
        </w:rPr>
        <w:t>界面定制化：全部页面可替换医院 LOGO、医院名称、科室简介、咨询电话</w:t>
      </w:r>
      <w:r>
        <w:rPr>
          <w:rFonts w:hint="eastAsia"/>
          <w:color w:val="000000"/>
          <w:sz w:val="24"/>
          <w:szCs w:val="24"/>
          <w:lang w:val="en-US" w:eastAsia="zh-CN"/>
        </w:rPr>
        <w:t>等</w:t>
      </w:r>
      <w:r>
        <w:rPr>
          <w:color w:val="000000"/>
          <w:sz w:val="24"/>
          <w:szCs w:val="24"/>
        </w:rPr>
        <w:t>；</w:t>
      </w:r>
    </w:p>
    <w:p w14:paraId="3FDA3D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3.3</w:t>
      </w:r>
      <w:r>
        <w:rPr>
          <w:color w:val="000000"/>
          <w:sz w:val="24"/>
          <w:szCs w:val="24"/>
        </w:rPr>
        <w:t>用户登录体系：支持手机号验证码登录绑定登录，实现院内患者身份统一识别；</w:t>
      </w:r>
    </w:p>
    <w:p w14:paraId="498CFC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3.4线下</w:t>
      </w:r>
      <w:r>
        <w:rPr>
          <w:color w:val="000000"/>
          <w:sz w:val="24"/>
          <w:szCs w:val="24"/>
        </w:rPr>
        <w:t>限免自动管控：系统底层逻辑自动识别同一账号首次检测免费，完成一次免费评估后自动关闭免费通道，后台可单独设置白名单账号永久免费；</w:t>
      </w:r>
    </w:p>
    <w:p w14:paraId="6EC510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3.5</w:t>
      </w:r>
      <w:r>
        <w:rPr>
          <w:color w:val="000000"/>
          <w:sz w:val="24"/>
          <w:szCs w:val="24"/>
        </w:rPr>
        <w:t>支付预留接口：平台预留线上支付接口，后期院方</w:t>
      </w:r>
      <w:r>
        <w:rPr>
          <w:rFonts w:hint="eastAsia"/>
          <w:color w:val="000000"/>
          <w:sz w:val="24"/>
          <w:szCs w:val="24"/>
          <w:lang w:val="en-US" w:eastAsia="zh-CN"/>
        </w:rPr>
        <w:t>根据相关规定</w:t>
      </w:r>
      <w:r>
        <w:rPr>
          <w:color w:val="000000"/>
          <w:sz w:val="24"/>
          <w:szCs w:val="24"/>
        </w:rPr>
        <w:t>如需开通线上复测收费可直接启用，无需二次开发。</w:t>
      </w:r>
    </w:p>
    <w:p w14:paraId="085819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4、后台账号、权限分级管理系统</w:t>
      </w:r>
    </w:p>
    <w:p w14:paraId="0A62E04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4.1</w:t>
      </w:r>
      <w:r>
        <w:rPr>
          <w:color w:val="000000"/>
          <w:sz w:val="24"/>
          <w:szCs w:val="24"/>
          <w:highlight w:val="none"/>
        </w:rPr>
        <w:t xml:space="preserve">多层级账号架构： </w:t>
      </w:r>
    </w:p>
    <w:p w14:paraId="38395C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4.1.1</w:t>
      </w:r>
      <w:r>
        <w:rPr>
          <w:color w:val="000000"/>
          <w:sz w:val="24"/>
          <w:szCs w:val="24"/>
          <w:highlight w:val="none"/>
        </w:rPr>
        <w:t xml:space="preserve">医院超级管理员：全院数据总览、额度管控、参数配置、权限分配、数据导出； </w:t>
      </w:r>
    </w:p>
    <w:p w14:paraId="31634E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4.1.2管理员账号</w:t>
      </w:r>
      <w:r>
        <w:rPr>
          <w:color w:val="000000"/>
          <w:sz w:val="24"/>
          <w:szCs w:val="24"/>
          <w:highlight w:val="none"/>
        </w:rPr>
        <w:t>：分南院治未病科、东院老年医学中心</w:t>
      </w:r>
      <w:r>
        <w:rPr>
          <w:rFonts w:hint="eastAsia"/>
          <w:color w:val="000000"/>
          <w:sz w:val="24"/>
          <w:szCs w:val="24"/>
          <w:highlight w:val="none"/>
          <w:lang w:val="en-US" w:eastAsia="zh-CN"/>
        </w:rPr>
        <w:t>≥3个</w:t>
      </w:r>
      <w:r>
        <w:rPr>
          <w:color w:val="000000"/>
          <w:sz w:val="24"/>
          <w:szCs w:val="24"/>
          <w:highlight w:val="none"/>
        </w:rPr>
        <w:t>独立子账号，仅查看本科室检测数据；</w:t>
      </w:r>
    </w:p>
    <w:p w14:paraId="412A76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4.1.3医护账号：</w:t>
      </w:r>
      <w:r>
        <w:rPr>
          <w:color w:val="000000"/>
          <w:sz w:val="24"/>
          <w:szCs w:val="24"/>
          <w:highlight w:val="none"/>
        </w:rPr>
        <w:t>仅查看患者报告，无数据导出、额度修改权限；</w:t>
      </w:r>
    </w:p>
    <w:p w14:paraId="57FC0D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4.2</w:t>
      </w:r>
      <w:r>
        <w:rPr>
          <w:color w:val="000000"/>
          <w:sz w:val="24"/>
          <w:szCs w:val="24"/>
          <w:highlight w:val="none"/>
        </w:rPr>
        <w:t>账号管理功能：支持账号新增、审核、停用、密码重置、权限回收；操作全程留痕日志，</w:t>
      </w:r>
      <w:r>
        <w:rPr>
          <w:rFonts w:hint="eastAsia"/>
          <w:color w:val="000000"/>
          <w:sz w:val="24"/>
          <w:szCs w:val="24"/>
          <w:highlight w:val="none"/>
          <w:lang w:val="en-US" w:eastAsia="zh-CN"/>
        </w:rPr>
        <w:t>全程可追溯</w:t>
      </w:r>
      <w:r>
        <w:rPr>
          <w:color w:val="000000"/>
          <w:sz w:val="24"/>
          <w:szCs w:val="24"/>
          <w:highlight w:val="none"/>
        </w:rPr>
        <w:t>。</w:t>
      </w:r>
    </w:p>
    <w:p w14:paraId="3A94E5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5、全周期患者健康档案</w:t>
      </w:r>
    </w:p>
    <w:p w14:paraId="4A0FFE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5.1</w:t>
      </w:r>
      <w:r>
        <w:rPr>
          <w:color w:val="000000"/>
          <w:sz w:val="24"/>
          <w:szCs w:val="24"/>
          <w:highlight w:val="none"/>
        </w:rPr>
        <w:t>统一电子档案：线上、线下所有检测记录自动归集至同一患者档案，云端留存</w:t>
      </w:r>
      <w:r>
        <w:rPr>
          <w:rFonts w:hint="eastAsia"/>
          <w:color w:val="000000"/>
          <w:sz w:val="24"/>
          <w:szCs w:val="24"/>
          <w:highlight w:val="none"/>
          <w:lang w:val="en-US" w:eastAsia="zh-CN"/>
        </w:rPr>
        <w:t>≥15年</w:t>
      </w:r>
      <w:r>
        <w:rPr>
          <w:color w:val="000000"/>
          <w:sz w:val="24"/>
          <w:szCs w:val="24"/>
          <w:highlight w:val="none"/>
        </w:rPr>
        <w:t>；</w:t>
      </w:r>
    </w:p>
    <w:p w14:paraId="274C1D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5.2</w:t>
      </w:r>
      <w:r>
        <w:rPr>
          <w:color w:val="000000"/>
          <w:sz w:val="24"/>
          <w:szCs w:val="24"/>
        </w:rPr>
        <w:t>多维度查询检索：支持按姓名、手机号、体质类型、科室、慢病类型筛选查询；支持单患者档案一键调取全部历史记录；</w:t>
      </w:r>
    </w:p>
    <w:p w14:paraId="641B6B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5.3</w:t>
      </w:r>
      <w:r>
        <w:rPr>
          <w:color w:val="000000"/>
          <w:sz w:val="24"/>
          <w:szCs w:val="24"/>
        </w:rPr>
        <w:t>体质对比功能：</w:t>
      </w:r>
      <w:r>
        <w:rPr>
          <w:rFonts w:hint="eastAsia"/>
          <w:color w:val="000000"/>
          <w:sz w:val="24"/>
          <w:szCs w:val="24"/>
          <w:lang w:val="en-US" w:eastAsia="zh-CN"/>
        </w:rPr>
        <w:t>连续</w:t>
      </w:r>
      <w:r>
        <w:rPr>
          <w:color w:val="000000"/>
          <w:sz w:val="24"/>
          <w:szCs w:val="24"/>
        </w:rPr>
        <w:t>两次检测报告自动生成对比分析，直观展示调理后体质改善</w:t>
      </w:r>
      <w:r>
        <w:rPr>
          <w:rFonts w:hint="eastAsia"/>
          <w:color w:val="000000"/>
          <w:sz w:val="24"/>
          <w:szCs w:val="24"/>
          <w:lang w:val="en-US" w:eastAsia="zh-CN"/>
        </w:rPr>
        <w:t>变化</w:t>
      </w:r>
      <w:r>
        <w:rPr>
          <w:color w:val="000000"/>
          <w:sz w:val="24"/>
          <w:szCs w:val="24"/>
        </w:rPr>
        <w:t>，适配老年慢病疗效展示；</w:t>
      </w:r>
    </w:p>
    <w:p w14:paraId="6C06A9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6、数据统计、报表与科研支撑功能</w:t>
      </w:r>
    </w:p>
    <w:p w14:paraId="7E73BE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6.1</w:t>
      </w:r>
      <w:r>
        <w:rPr>
          <w:color w:val="000000"/>
          <w:sz w:val="24"/>
          <w:szCs w:val="24"/>
        </w:rPr>
        <w:t>全院 / 分科室统计看板：实时展示日 / 周 / 月检测人次、免费检测数量、剩余检测额度、各类体质占比；</w:t>
      </w:r>
    </w:p>
    <w:p w14:paraId="6EC106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6.2</w:t>
      </w:r>
      <w:r>
        <w:rPr>
          <w:color w:val="000000"/>
          <w:sz w:val="24"/>
          <w:szCs w:val="24"/>
        </w:rPr>
        <w:t>科研数据脱敏导出：可导出去除姓名、手机号、身份证等隐私信息的结构化科研数据集，支持中医体质与慢病相关性研究、科室论文、课题申报；</w:t>
      </w:r>
    </w:p>
    <w:p w14:paraId="40276D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6.3</w:t>
      </w:r>
      <w:r>
        <w:rPr>
          <w:color w:val="000000"/>
          <w:sz w:val="24"/>
          <w:szCs w:val="24"/>
        </w:rPr>
        <w:t>结构化数据存储：所有检测指标、体质得分、辨证结果采用标准化结构化存储，便于后期大数据挖掘分析。</w:t>
      </w:r>
    </w:p>
    <w:p w14:paraId="5263A6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7、报告管理与打印功能</w:t>
      </w:r>
    </w:p>
    <w:p w14:paraId="4E1A4C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7.1</w:t>
      </w:r>
      <w:r>
        <w:rPr>
          <w:color w:val="000000"/>
          <w:sz w:val="24"/>
          <w:szCs w:val="24"/>
        </w:rPr>
        <w:t>医生在线编辑：所有电子报告支持医生后台补充专业解读、个性化干预建议、膏方 / 针灸 / 药膳配套指导；</w:t>
      </w:r>
    </w:p>
    <w:p w14:paraId="1E13ABB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7.2</w:t>
      </w:r>
      <w:r>
        <w:rPr>
          <w:color w:val="000000"/>
          <w:sz w:val="24"/>
          <w:szCs w:val="24"/>
          <w:highlight w:val="none"/>
        </w:rPr>
        <w:t>批量打印：支持单份报告打印、批量导出科室当日所有报告统一打印；</w:t>
      </w:r>
    </w:p>
    <w:p w14:paraId="0A03BB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highlight w:val="none"/>
          <w:lang w:val="en-US" w:eastAsia="zh-CN"/>
        </w:rPr>
        <w:t>7.3</w:t>
      </w:r>
      <w:r>
        <w:rPr>
          <w:color w:val="000000"/>
          <w:sz w:val="24"/>
          <w:szCs w:val="24"/>
          <w:highlight w:val="none"/>
        </w:rPr>
        <w:t>患者端留存：患者微信端</w:t>
      </w:r>
      <w:r>
        <w:rPr>
          <w:rFonts w:hint="eastAsia"/>
          <w:color w:val="000000"/>
          <w:sz w:val="24"/>
          <w:szCs w:val="24"/>
          <w:highlight w:val="none"/>
          <w:lang w:val="en-US" w:eastAsia="zh-CN"/>
        </w:rPr>
        <w:t>可</w:t>
      </w:r>
      <w:r>
        <w:rPr>
          <w:color w:val="000000"/>
          <w:sz w:val="24"/>
          <w:szCs w:val="24"/>
          <w:highlight w:val="none"/>
        </w:rPr>
        <w:t>查看本人全部历</w:t>
      </w:r>
      <w:r>
        <w:rPr>
          <w:color w:val="000000"/>
          <w:sz w:val="24"/>
          <w:szCs w:val="24"/>
        </w:rPr>
        <w:t>史报告，支持自行保存。</w:t>
      </w:r>
    </w:p>
    <w:p w14:paraId="5D78C3E6">
      <w:pPr>
        <w:keepNext w:val="0"/>
        <w:keepLines w:val="0"/>
        <w:pageBreakBefore w:val="0"/>
        <w:numPr>
          <w:ilvl w:val="0"/>
          <w:numId w:val="2"/>
        </w:numPr>
        <w:tabs>
          <w:tab w:val="left" w:pos="1050"/>
        </w:tabs>
        <w:kinsoku/>
        <w:wordWrap/>
        <w:overflowPunct/>
        <w:topLinePunct w:val="0"/>
        <w:autoSpaceDE/>
        <w:autoSpaceDN/>
        <w:bidi w:val="0"/>
        <w:spacing w:line="440" w:lineRule="exact"/>
        <w:jc w:val="center"/>
        <w:textAlignment w:val="auto"/>
        <w:rPr>
          <w:rFonts w:hint="eastAsia" w:asciiTheme="minorEastAsia" w:hAnsiTheme="minorEastAsia" w:cstheme="minorEastAsia"/>
          <w:b/>
          <w:kern w:val="2"/>
          <w:sz w:val="24"/>
          <w:szCs w:val="24"/>
          <w:lang w:val="en-US" w:eastAsia="zh-CN" w:bidi="ar-SA"/>
        </w:rPr>
      </w:pPr>
      <w:r>
        <w:rPr>
          <w:rFonts w:hint="eastAsia" w:asciiTheme="minorEastAsia" w:hAnsiTheme="minorEastAsia" w:cstheme="minorEastAsia"/>
          <w:b/>
          <w:kern w:val="2"/>
          <w:sz w:val="24"/>
          <w:szCs w:val="24"/>
          <w:lang w:val="en-US" w:eastAsia="zh-CN" w:bidi="ar-SA"/>
        </w:rPr>
        <w:t>货物服务内容</w:t>
      </w:r>
    </w:p>
    <w:p w14:paraId="17BC3B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1、建设目标</w:t>
      </w:r>
    </w:p>
    <w:p w14:paraId="292AA3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jc w:val="left"/>
        <w:textAlignment w:val="auto"/>
        <w:outlineLvl w:val="9"/>
        <w:rPr>
          <w:rFonts w:hint="eastAsia"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响应国家 “治未病”、智慧中医、老年慢病健康管理政策，建设</w:t>
      </w:r>
      <w:r>
        <w:rPr>
          <w:rStyle w:val="14"/>
          <w:rFonts w:ascii="宋体" w:hAnsi="宋体" w:eastAsia="宋体" w:cs="宋体"/>
          <w:color w:val="000000"/>
          <w:kern w:val="0"/>
          <w:sz w:val="24"/>
          <w:szCs w:val="24"/>
          <w:lang w:val="en-US" w:eastAsia="zh-CN" w:bidi="ar"/>
        </w:rPr>
        <w:t>线下硬件终端 + 医院公众号线上云平台</w:t>
      </w:r>
      <w:r>
        <w:rPr>
          <w:rFonts w:ascii="宋体" w:hAnsi="宋体" w:eastAsia="宋体" w:cs="宋体"/>
          <w:color w:val="000000"/>
          <w:kern w:val="0"/>
          <w:sz w:val="24"/>
          <w:szCs w:val="24"/>
          <w:lang w:val="en-US" w:eastAsia="zh-CN" w:bidi="ar"/>
        </w:rPr>
        <w:t>一体化</w:t>
      </w:r>
      <w:r>
        <w:rPr>
          <w:rFonts w:ascii="宋体" w:hAnsi="宋体" w:eastAsia="宋体" w:cs="宋体"/>
          <w:sz w:val="24"/>
          <w:szCs w:val="24"/>
        </w:rPr>
        <w:t>中医健康体质评估服务体系</w:t>
      </w:r>
      <w:r>
        <w:rPr>
          <w:rFonts w:ascii="宋体" w:hAnsi="宋体" w:eastAsia="宋体" w:cs="宋体"/>
          <w:color w:val="000000"/>
          <w:kern w:val="0"/>
          <w:sz w:val="24"/>
          <w:szCs w:val="24"/>
          <w:lang w:val="en-US" w:eastAsia="zh-CN" w:bidi="ar"/>
        </w:rPr>
        <w:t>，覆盖南院治未病科、东院老年医学中心两个院区。</w:t>
      </w:r>
      <w:r>
        <w:rPr>
          <w:rFonts w:hint="eastAsia" w:ascii="宋体" w:hAnsi="宋体" w:eastAsia="宋体" w:cs="宋体"/>
          <w:color w:val="000000"/>
          <w:kern w:val="0"/>
          <w:sz w:val="24"/>
          <w:szCs w:val="24"/>
          <w:lang w:val="en-US" w:eastAsia="zh-CN" w:bidi="ar"/>
        </w:rPr>
        <w:t>严格遵循《中医体质分类与判定》国家标准，实现九种基础体质、不少于 80 种中医健康状态倾向性参考评估；搭建线上线下统一加密健康数据库，支撑门诊筛查、体检配套、老年慢病长期监测、居家自测、医师复核干预、随访管理、临床科研数据统计；系统定位为</w:t>
      </w:r>
      <w:r>
        <w:rPr>
          <w:rFonts w:hint="eastAsia" w:ascii="宋体" w:hAnsi="宋体" w:eastAsia="宋体" w:cs="宋体"/>
          <w:b/>
          <w:bCs/>
          <w:color w:val="000000"/>
          <w:kern w:val="0"/>
          <w:sz w:val="24"/>
          <w:szCs w:val="24"/>
          <w:lang w:val="en-US" w:eastAsia="zh-CN" w:bidi="ar"/>
        </w:rPr>
        <w:t>医师辅助采集分析工具</w:t>
      </w:r>
      <w:r>
        <w:rPr>
          <w:rFonts w:hint="eastAsia" w:ascii="宋体" w:hAnsi="宋体" w:eastAsia="宋体" w:cs="宋体"/>
          <w:color w:val="000000"/>
          <w:kern w:val="0"/>
          <w:sz w:val="24"/>
          <w:szCs w:val="24"/>
          <w:lang w:val="en-US" w:eastAsia="zh-CN" w:bidi="ar"/>
        </w:rPr>
        <w:t>，无独立诊断、处方效力，所有疾病判断、方药、理疗干预内容必须经本院注册执业中医师人工审核后方可展示使用，严禁 AI 自动出具诊疗结论、自动开方，规避医疗合规风险。</w:t>
      </w:r>
    </w:p>
    <w:p w14:paraId="4ED676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2、核心合规要求</w:t>
      </w:r>
    </w:p>
    <w:p w14:paraId="19D3FB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2.1 AI 输出内容权责划分</w:t>
      </w:r>
    </w:p>
    <w:p w14:paraId="70655B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2.1.1 公众号线上患者自主上传舌面诊、完成问卷后，系统仅生成非诊疗类健康调养参考内容（膳食、起居、穴位保健、情志调理科普），报告强制高亮弹窗免责声明：本报告仅为体质健康科普参考，不构成疾病诊断、处方治疗依据，身体不适请前往医院由执业中医师面诊；</w:t>
      </w:r>
    </w:p>
    <w:p w14:paraId="060706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2.1.2 公众号系统内置方药、理疗、疾病风险判断、辨证干预方案默认隐藏不可见。仅线下辨识仪端经院内执业中医师确认后，患者端报告才可加载医师复核后的专业指导内容；无医师审核记录则报告仅展示基础体质科普，屏蔽全部医疗干预类文字；</w:t>
      </w:r>
    </w:p>
    <w:p w14:paraId="5968D5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2.1.3 无论线上公众号自测、线下辨识仪检测，AI 不得自动生成中药处方、理疗治疗方案、疾病确诊结论，所有具备医疗属性的干预建议必须绑定医师账号、留存审核日志，日志永久不可删除篡改。</w:t>
      </w:r>
    </w:p>
    <w:p w14:paraId="60B7C8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2.2.线上患者授权与知情合规</w:t>
      </w:r>
    </w:p>
    <w:p w14:paraId="45A0A8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线上端检测流程前置强制知情授权弹窗，清晰告知将采集舌面图像、个人身份、健康数据用于院内体质管理，未勾选同意、未完成授权无法进入图像采集、问卷环节；授权记录、操作时间、患者账号永久云端存档备查。</w:t>
      </w:r>
    </w:p>
    <w:p w14:paraId="64D1543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2.3线下辨识仪场景合规约束</w:t>
      </w:r>
    </w:p>
    <w:p w14:paraId="07679B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辨识仪仅限本院持证执业中医师指导下院内使用，设备界面、纸质打印报告首页同步标注免责声明；医师可在设备后台调取患者数据、补充人工辨证意见，意见需关联医师工号留存记录，单独打印无医师复核的报告仅作健康科普材料，不得作为诊疗病历使用。</w:t>
      </w:r>
    </w:p>
    <w:p w14:paraId="7BBB2D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2.4线上线下统一管控规则</w:t>
      </w:r>
    </w:p>
    <w:p w14:paraId="46D7FD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公众号居家自测仅作健康科普筛查，不替代线下医师面诊；系统设置弹窗引导：若存在头晕、疼痛、慢病加重等不适，提示尽快到院就诊，禁止线上 AI 引导自行购药、自行理疗。</w:t>
      </w:r>
    </w:p>
    <w:p w14:paraId="0AE9E8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3、系统接口对接详细需求</w:t>
      </w:r>
    </w:p>
    <w:p w14:paraId="7C3E7C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3.1</w:t>
      </w:r>
      <w:r>
        <w:rPr>
          <w:color w:val="000000"/>
          <w:sz w:val="24"/>
          <w:szCs w:val="24"/>
        </w:rPr>
        <w:t>报告查询接口</w:t>
      </w:r>
      <w:r>
        <w:rPr>
          <w:rFonts w:hint="eastAsia"/>
          <w:color w:val="000000"/>
          <w:sz w:val="24"/>
          <w:szCs w:val="24"/>
          <w:lang w:eastAsia="zh-CN"/>
        </w:rPr>
        <w:t>（</w:t>
      </w:r>
      <w:r>
        <w:rPr>
          <w:rFonts w:hint="eastAsia"/>
          <w:color w:val="000000"/>
          <w:sz w:val="24"/>
          <w:szCs w:val="24"/>
          <w:lang w:val="en-US" w:eastAsia="zh-CN"/>
        </w:rPr>
        <w:t>预留）</w:t>
      </w:r>
      <w:r>
        <w:rPr>
          <w:color w:val="000000"/>
          <w:sz w:val="24"/>
          <w:szCs w:val="24"/>
        </w:rPr>
        <w:t>：院内 HIS</w:t>
      </w:r>
      <w:r>
        <w:rPr>
          <w:rFonts w:hint="eastAsia"/>
          <w:color w:val="000000"/>
          <w:sz w:val="24"/>
          <w:szCs w:val="24"/>
          <w:lang w:eastAsia="zh-CN"/>
        </w:rPr>
        <w:t>、</w:t>
      </w:r>
      <w:r>
        <w:rPr>
          <w:color w:val="000000"/>
          <w:sz w:val="24"/>
          <w:szCs w:val="24"/>
        </w:rPr>
        <w:t>互联网医院可通过接口调取患者中医体质辨识报告，</w:t>
      </w:r>
      <w:r>
        <w:rPr>
          <w:rFonts w:hint="eastAsia"/>
          <w:color w:val="000000"/>
          <w:sz w:val="24"/>
          <w:szCs w:val="24"/>
          <w:lang w:val="en-US" w:eastAsia="zh-CN"/>
        </w:rPr>
        <w:t>可</w:t>
      </w:r>
      <w:r>
        <w:rPr>
          <w:color w:val="000000"/>
          <w:sz w:val="24"/>
          <w:szCs w:val="24"/>
        </w:rPr>
        <w:t>嵌入患者院内电子病历；</w:t>
      </w:r>
    </w:p>
    <w:p w14:paraId="7C0459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3.2</w:t>
      </w:r>
      <w:r>
        <w:rPr>
          <w:color w:val="000000"/>
          <w:sz w:val="24"/>
          <w:szCs w:val="24"/>
        </w:rPr>
        <w:t>数据统计接口：向医院信息科开放标准化数据接口，定时同步全院检测统计数据；</w:t>
      </w:r>
    </w:p>
    <w:p w14:paraId="602AC99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3.3</w:t>
      </w:r>
      <w:r>
        <w:rPr>
          <w:color w:val="000000"/>
          <w:sz w:val="24"/>
          <w:szCs w:val="24"/>
        </w:rPr>
        <w:t>支付接口（预留）：完整线上收费接口开发，后期院方</w:t>
      </w:r>
      <w:r>
        <w:rPr>
          <w:rFonts w:hint="eastAsia"/>
          <w:color w:val="000000"/>
          <w:sz w:val="24"/>
          <w:szCs w:val="24"/>
          <w:lang w:val="en-US" w:eastAsia="zh-CN"/>
        </w:rPr>
        <w:t>根据相关规定</w:t>
      </w:r>
      <w:r>
        <w:rPr>
          <w:color w:val="000000"/>
          <w:sz w:val="24"/>
          <w:szCs w:val="24"/>
        </w:rPr>
        <w:t>启用时仅需配置收费标准，无需额外开发；</w:t>
      </w:r>
    </w:p>
    <w:p w14:paraId="5FEE79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3.4</w:t>
      </w:r>
      <w:r>
        <w:rPr>
          <w:color w:val="000000"/>
          <w:sz w:val="24"/>
          <w:szCs w:val="24"/>
        </w:rPr>
        <w:t>接口联调服务：供应商负责全部接口开发、测试、联调，免费提供接口文档、技术对接人员驻场配合院内信息科调试。</w:t>
      </w:r>
    </w:p>
    <w:p w14:paraId="3D6234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4、实施、培训、验收全流程详细要求</w:t>
      </w:r>
    </w:p>
    <w:p w14:paraId="716C8F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4.1</w:t>
      </w:r>
      <w:r>
        <w:rPr>
          <w:b/>
          <w:bCs/>
          <w:color w:val="000000"/>
          <w:sz w:val="24"/>
          <w:szCs w:val="24"/>
        </w:rPr>
        <w:t>实施部署服务</w:t>
      </w:r>
    </w:p>
    <w:p w14:paraId="38ADDA3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4.1.1</w:t>
      </w:r>
      <w:r>
        <w:rPr>
          <w:color w:val="000000"/>
          <w:sz w:val="24"/>
          <w:szCs w:val="24"/>
          <w:highlight w:val="none"/>
        </w:rPr>
        <w:t>实施步骤：硬件到货验收→现场设备安装布线→云端平台配置→公众号页面定制开发→院内系统接口联调→全流程压力测试（多患者同时在线检测）→试运行 7 天→正式项目整体验收；</w:t>
      </w:r>
    </w:p>
    <w:p w14:paraId="3E18E1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4.1.2</w:t>
      </w:r>
      <w:r>
        <w:rPr>
          <w:color w:val="000000"/>
          <w:sz w:val="24"/>
          <w:szCs w:val="24"/>
          <w:highlight w:val="none"/>
        </w:rPr>
        <w:t>试运行要求：试运行期间供应商安排技术人员驻院 3 天，全程跟进设备、线上系统使用问题，实时优化调整。</w:t>
      </w:r>
    </w:p>
    <w:p w14:paraId="03E5F5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宋体" w:hAnsi="宋体" w:eastAsia="宋体" w:cs="宋体"/>
          <w:b w:val="0"/>
          <w:bCs w:val="0"/>
          <w:color w:val="000000"/>
          <w:kern w:val="0"/>
          <w:sz w:val="24"/>
          <w:szCs w:val="24"/>
          <w:lang w:val="en-US" w:eastAsia="zh-CN" w:bidi="ar"/>
        </w:rPr>
      </w:pPr>
      <w:r>
        <w:rPr>
          <w:rFonts w:hint="eastAsia"/>
          <w:color w:val="000000"/>
          <w:sz w:val="24"/>
          <w:szCs w:val="24"/>
          <w:highlight w:val="none"/>
          <w:lang w:val="en-US" w:eastAsia="zh-CN"/>
        </w:rPr>
        <w:t>4.1.3三年期云端服务：公众号自测模</w:t>
      </w:r>
      <w:r>
        <w:rPr>
          <w:rFonts w:hint="eastAsia"/>
          <w:color w:val="000000"/>
          <w:sz w:val="24"/>
          <w:szCs w:val="24"/>
          <w:lang w:val="en-US" w:eastAsia="zh-CN"/>
        </w:rPr>
        <w:t>块、医师复核后台、统一健康档案、数据统计、接口服务、算法免费迭代；</w:t>
      </w:r>
    </w:p>
    <w:p w14:paraId="095846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4.2</w:t>
      </w:r>
      <w:r>
        <w:rPr>
          <w:b/>
          <w:bCs/>
          <w:color w:val="000000"/>
          <w:sz w:val="24"/>
          <w:szCs w:val="24"/>
        </w:rPr>
        <w:t>分层培训服务（必须提供完整培训资料）</w:t>
      </w:r>
    </w:p>
    <w:p w14:paraId="60D2EF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4.2.1</w:t>
      </w:r>
      <w:r>
        <w:rPr>
          <w:color w:val="000000"/>
          <w:sz w:val="24"/>
          <w:szCs w:val="24"/>
        </w:rPr>
        <w:t>医护实操培训（南院、东院分场次培训）：体质辨识仪操作、线下开单、报告解读、后台患者档案查看；发放纸质操作手册；</w:t>
      </w:r>
    </w:p>
    <w:p w14:paraId="09AA1E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4.2.2</w:t>
      </w:r>
      <w:r>
        <w:rPr>
          <w:color w:val="000000"/>
          <w:sz w:val="24"/>
          <w:szCs w:val="24"/>
        </w:rPr>
        <w:t>管理员后台培训：额度管控、权限分配、数据报表导出、白名单配置、运营参数设置；提供电子版后台管理教程；</w:t>
      </w:r>
    </w:p>
    <w:p w14:paraId="526D06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4.2.3</w:t>
      </w:r>
      <w:r>
        <w:rPr>
          <w:color w:val="000000"/>
          <w:sz w:val="24"/>
          <w:szCs w:val="24"/>
        </w:rPr>
        <w:t>患者使用指引：制作公众号线上</w:t>
      </w:r>
      <w:r>
        <w:rPr>
          <w:rFonts w:hint="eastAsia"/>
          <w:color w:val="000000"/>
          <w:sz w:val="24"/>
          <w:szCs w:val="24"/>
          <w:lang w:val="en-US" w:eastAsia="zh-CN"/>
        </w:rPr>
        <w:t>及线下</w:t>
      </w:r>
      <w:r>
        <w:rPr>
          <w:color w:val="000000"/>
          <w:sz w:val="24"/>
          <w:szCs w:val="24"/>
        </w:rPr>
        <w:t>自测图文操作指南；</w:t>
      </w:r>
    </w:p>
    <w:p w14:paraId="6E297A9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4.2.4</w:t>
      </w:r>
      <w:r>
        <w:rPr>
          <w:color w:val="000000"/>
          <w:sz w:val="24"/>
          <w:szCs w:val="24"/>
        </w:rPr>
        <w:t>培训考核：培训完成后组织医护简易实操考核，确保科室人员独立操作软硬件。</w:t>
      </w:r>
    </w:p>
    <w:p w14:paraId="427674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4.3、</w:t>
      </w:r>
      <w:r>
        <w:rPr>
          <w:b/>
          <w:bCs/>
          <w:color w:val="000000"/>
          <w:sz w:val="24"/>
          <w:szCs w:val="24"/>
        </w:rPr>
        <w:t>项目验收标准</w:t>
      </w:r>
    </w:p>
    <w:p w14:paraId="1934B6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4.3.1</w:t>
      </w:r>
      <w:r>
        <w:rPr>
          <w:color w:val="000000"/>
          <w:sz w:val="24"/>
          <w:szCs w:val="24"/>
          <w:highlight w:val="none"/>
        </w:rPr>
        <w:t>硬件验收：设备外观完好、采集成像正常、</w:t>
      </w:r>
      <w:r>
        <w:rPr>
          <w:rFonts w:hint="eastAsia"/>
          <w:color w:val="000000"/>
          <w:sz w:val="24"/>
          <w:szCs w:val="24"/>
          <w:highlight w:val="none"/>
          <w:lang w:val="en-US" w:eastAsia="zh-CN"/>
        </w:rPr>
        <w:t>≤</w:t>
      </w:r>
      <w:r>
        <w:rPr>
          <w:color w:val="000000"/>
          <w:sz w:val="24"/>
          <w:szCs w:val="24"/>
          <w:highlight w:val="none"/>
        </w:rPr>
        <w:t>10 秒出图、30 秒完整出报告、打印功能正常、数据同步云端无丢失；</w:t>
      </w:r>
    </w:p>
    <w:p w14:paraId="269B39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highlight w:val="none"/>
          <w:lang w:val="en-US" w:eastAsia="zh-CN"/>
        </w:rPr>
        <w:t>4.3.2</w:t>
      </w:r>
      <w:r>
        <w:rPr>
          <w:color w:val="000000"/>
          <w:sz w:val="24"/>
          <w:szCs w:val="24"/>
          <w:highlight w:val="none"/>
        </w:rPr>
        <w:t>云平台验收：公众号入口正常打开、</w:t>
      </w:r>
      <w:r>
        <w:rPr>
          <w:rFonts w:hint="eastAsia"/>
          <w:color w:val="000000"/>
          <w:sz w:val="24"/>
          <w:szCs w:val="24"/>
          <w:highlight w:val="none"/>
          <w:lang w:val="en-US" w:eastAsia="zh-CN"/>
        </w:rPr>
        <w:t>正常自测并出结果、</w:t>
      </w:r>
      <w:r>
        <w:rPr>
          <w:color w:val="000000"/>
          <w:sz w:val="24"/>
          <w:szCs w:val="24"/>
          <w:highlight w:val="none"/>
        </w:rPr>
        <w:t>线上线下数</w:t>
      </w:r>
      <w:r>
        <w:rPr>
          <w:color w:val="000000"/>
          <w:sz w:val="24"/>
          <w:szCs w:val="24"/>
        </w:rPr>
        <w:t>据统一归档、所有辨证模块正常运行；</w:t>
      </w:r>
    </w:p>
    <w:p w14:paraId="235A9A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4.3.3</w:t>
      </w:r>
      <w:r>
        <w:rPr>
          <w:color w:val="000000"/>
          <w:sz w:val="24"/>
          <w:szCs w:val="24"/>
        </w:rPr>
        <w:t>接口验收：公众号</w:t>
      </w:r>
      <w:r>
        <w:rPr>
          <w:rFonts w:hint="eastAsia"/>
          <w:color w:val="000000"/>
          <w:sz w:val="24"/>
          <w:szCs w:val="24"/>
          <w:lang w:val="en-US" w:eastAsia="zh-CN"/>
        </w:rPr>
        <w:t>用户正常登录</w:t>
      </w:r>
      <w:r>
        <w:rPr>
          <w:color w:val="000000"/>
          <w:sz w:val="24"/>
          <w:szCs w:val="24"/>
        </w:rPr>
        <w:t>、报告可院内调取、统计接口数据同步无延迟；</w:t>
      </w:r>
    </w:p>
    <w:p w14:paraId="6EAC859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4.3.4</w:t>
      </w:r>
      <w:r>
        <w:rPr>
          <w:color w:val="000000"/>
          <w:sz w:val="24"/>
          <w:szCs w:val="24"/>
        </w:rPr>
        <w:t>文档交付：供应商交付全套竣工资料，包含硬件说明书、平台操作手册、接口文档、培训课件、项目实施方案、数据安全方案。</w:t>
      </w:r>
    </w:p>
    <w:p w14:paraId="306017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5、数据安全、隐私保护与合规硬性要求</w:t>
      </w:r>
    </w:p>
    <w:p w14:paraId="4865D9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5.1</w:t>
      </w:r>
      <w:r>
        <w:rPr>
          <w:b/>
          <w:bCs/>
          <w:color w:val="000000"/>
          <w:sz w:val="24"/>
          <w:szCs w:val="24"/>
        </w:rPr>
        <w:t>数据传输与存储安全</w:t>
      </w:r>
    </w:p>
    <w:p w14:paraId="2F52E4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5.1.1</w:t>
      </w:r>
      <w:r>
        <w:rPr>
          <w:color w:val="000000"/>
          <w:sz w:val="24"/>
          <w:szCs w:val="24"/>
        </w:rPr>
        <w:t>传输加密：患者图像、身份信息、检测数据全程采用 TLS/SSL 加密协议传输，禁止明文传输；</w:t>
      </w:r>
    </w:p>
    <w:p w14:paraId="4216A4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5.1.2</w:t>
      </w:r>
      <w:r>
        <w:rPr>
          <w:color w:val="000000"/>
          <w:sz w:val="24"/>
          <w:szCs w:val="24"/>
        </w:rPr>
        <w:t>存储安全：云端患者敏感信息（手机号、身份证）脱敏加密存储，原始图像、体质数据分库隔离存储；</w:t>
      </w:r>
    </w:p>
    <w:p w14:paraId="253A71F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5.1.3</w:t>
      </w:r>
      <w:r>
        <w:rPr>
          <w:color w:val="000000"/>
          <w:sz w:val="24"/>
          <w:szCs w:val="24"/>
        </w:rPr>
        <w:t>备份机制：云端系统自动每日全量数据备份，支持院方自主导出本地备份文件；备份数据加密存储，定期校验备份完整性。</w:t>
      </w:r>
    </w:p>
    <w:p w14:paraId="7FBDD5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5.2</w:t>
      </w:r>
      <w:r>
        <w:rPr>
          <w:b/>
          <w:bCs/>
          <w:color w:val="000000"/>
          <w:sz w:val="24"/>
          <w:szCs w:val="24"/>
        </w:rPr>
        <w:t>网络安全防护机制</w:t>
      </w:r>
    </w:p>
    <w:p w14:paraId="196E85E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5.2.1</w:t>
      </w:r>
      <w:r>
        <w:rPr>
          <w:color w:val="000000"/>
          <w:sz w:val="24"/>
          <w:szCs w:val="24"/>
        </w:rPr>
        <w:t>底层防护：系统具备防 SQL 注入、XSS 跨站脚本、暴力破解、非法越权访问防护能力；</w:t>
      </w:r>
    </w:p>
    <w:p w14:paraId="0286B1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5.2.2</w:t>
      </w:r>
      <w:r>
        <w:rPr>
          <w:color w:val="000000"/>
          <w:sz w:val="24"/>
          <w:szCs w:val="24"/>
        </w:rPr>
        <w:t>安全巡检：平台定期开展漏洞扫描、渗透测试，每季度向院方提供安全巡检简要报告；</w:t>
      </w:r>
    </w:p>
    <w:p w14:paraId="535039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5.2.3</w:t>
      </w:r>
      <w:r>
        <w:rPr>
          <w:color w:val="000000"/>
          <w:sz w:val="24"/>
          <w:szCs w:val="24"/>
        </w:rPr>
        <w:t>操作日志：所有后台登录、数据导出、报告修改、额度调整操作留存永久日志，日志不可删除篡改，可追溯安全事件。</w:t>
      </w:r>
    </w:p>
    <w:p w14:paraId="2869D5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5.3</w:t>
      </w:r>
      <w:r>
        <w:rPr>
          <w:b/>
          <w:bCs/>
          <w:color w:val="000000"/>
          <w:sz w:val="24"/>
          <w:szCs w:val="24"/>
        </w:rPr>
        <w:t>患者隐私法律合规要求</w:t>
      </w:r>
    </w:p>
    <w:p w14:paraId="37DA09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5.3.1</w:t>
      </w:r>
      <w:r>
        <w:rPr>
          <w:color w:val="000000"/>
          <w:sz w:val="24"/>
          <w:szCs w:val="24"/>
        </w:rPr>
        <w:t>授权机制：线上</w:t>
      </w:r>
      <w:r>
        <w:rPr>
          <w:color w:val="auto"/>
          <w:sz w:val="24"/>
          <w:szCs w:val="24"/>
        </w:rPr>
        <w:t>检测前</w:t>
      </w:r>
      <w:r>
        <w:rPr>
          <w:color w:val="000000"/>
          <w:sz w:val="24"/>
          <w:szCs w:val="24"/>
        </w:rPr>
        <w:t>必须弹窗提示患者授权采集舌面图像、存储健康数据，未授权无法开展检测；</w:t>
      </w:r>
    </w:p>
    <w:p w14:paraId="3E235F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5.3.2</w:t>
      </w:r>
      <w:r>
        <w:rPr>
          <w:color w:val="000000"/>
          <w:sz w:val="24"/>
          <w:szCs w:val="24"/>
        </w:rPr>
        <w:t>数据权属约定：所有院内患者检测原始数据、健康档案所有权归马鞍山市中医院所有；供应商仅提供存储、算法技术服务，严禁私自采集、导出、对外共享、商业使用院内患者数据；</w:t>
      </w:r>
    </w:p>
    <w:p w14:paraId="36A479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5.3.3</w:t>
      </w:r>
      <w:r>
        <w:rPr>
          <w:color w:val="000000"/>
          <w:sz w:val="24"/>
          <w:szCs w:val="24"/>
        </w:rPr>
        <w:t>合规依据：系统全流程符合《中华人民共和国个人信息保护法》《医疗卫生机构网络安全管理办法》《中医药信息化建设规范》相关条款；若因供应商系统造成数据泄露，由供应商承担全部法律、经济赔偿责任。</w:t>
      </w:r>
    </w:p>
    <w:p w14:paraId="0693D0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6、分科室专项差异化需求</w:t>
      </w:r>
    </w:p>
    <w:p w14:paraId="6415A3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6.1</w:t>
      </w:r>
      <w:r>
        <w:rPr>
          <w:b/>
          <w:bCs/>
          <w:color w:val="000000"/>
          <w:sz w:val="24"/>
          <w:szCs w:val="24"/>
        </w:rPr>
        <w:t>南院治未病科专项适配</w:t>
      </w:r>
    </w:p>
    <w:p w14:paraId="52CC6B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6.1.1</w:t>
      </w:r>
      <w:r>
        <w:rPr>
          <w:color w:val="000000"/>
          <w:sz w:val="24"/>
          <w:szCs w:val="24"/>
        </w:rPr>
        <w:t>适配治未病标准化全流程：体质筛查→健康风险评估→个性化调理方案→长期随访闭环数字化管理；</w:t>
      </w:r>
    </w:p>
    <w:p w14:paraId="4C7B06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6.1.2</w:t>
      </w:r>
      <w:r>
        <w:rPr>
          <w:color w:val="000000"/>
          <w:sz w:val="24"/>
          <w:szCs w:val="24"/>
        </w:rPr>
        <w:t>体检套餐配套：支持将体质辨识纳入常规健康体检项目，批量统计体检人群体质分布，形成体检增值服务；</w:t>
      </w:r>
    </w:p>
    <w:p w14:paraId="6C4541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6.1.3</w:t>
      </w:r>
      <w:r>
        <w:rPr>
          <w:color w:val="000000"/>
          <w:sz w:val="24"/>
          <w:szCs w:val="24"/>
        </w:rPr>
        <w:t>业务拓展支撑：系统方案需配套膏方、药膳、针灸推拿、健康管理套餐等延伸增值服务运营思路；</w:t>
      </w:r>
    </w:p>
    <w:p w14:paraId="7B9C7B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jc w:val="left"/>
        <w:textAlignment w:val="auto"/>
        <w:outlineLvl w:val="9"/>
        <w:rPr>
          <w:b/>
          <w:bCs/>
          <w:color w:val="000000"/>
          <w:sz w:val="24"/>
          <w:szCs w:val="24"/>
        </w:rPr>
      </w:pPr>
      <w:r>
        <w:rPr>
          <w:rFonts w:hint="eastAsia"/>
          <w:b/>
          <w:bCs/>
          <w:color w:val="000000"/>
          <w:sz w:val="24"/>
          <w:szCs w:val="24"/>
          <w:lang w:val="en-US" w:eastAsia="zh-CN"/>
        </w:rPr>
        <w:t>6.2</w:t>
      </w:r>
      <w:r>
        <w:rPr>
          <w:b/>
          <w:bCs/>
          <w:color w:val="000000"/>
          <w:sz w:val="24"/>
          <w:szCs w:val="24"/>
        </w:rPr>
        <w:t>东院老年医学中心专项适配</w:t>
      </w:r>
    </w:p>
    <w:p w14:paraId="18AEF4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6.2.1</w:t>
      </w:r>
      <w:r>
        <w:rPr>
          <w:color w:val="000000"/>
          <w:sz w:val="24"/>
          <w:szCs w:val="24"/>
        </w:rPr>
        <w:t>老年人群简化优化：界面字体放大、问诊题目删减复杂选项，报告减少专业术语，重点标注慢病风险、居家简易调理方式；</w:t>
      </w:r>
    </w:p>
    <w:p w14:paraId="675F44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6.2.2</w:t>
      </w:r>
      <w:r>
        <w:rPr>
          <w:color w:val="000000"/>
          <w:sz w:val="24"/>
          <w:szCs w:val="24"/>
        </w:rPr>
        <w:t>医康养一体化支撑：覆盖住院床边评估、门诊复诊、居家线上自测；</w:t>
      </w:r>
    </w:p>
    <w:p w14:paraId="34C239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6.2.3</w:t>
      </w:r>
      <w:r>
        <w:rPr>
          <w:color w:val="000000"/>
          <w:sz w:val="24"/>
          <w:szCs w:val="24"/>
        </w:rPr>
        <w:t>家属协同查看：支持患者将报告转发至家属微信，方便家属同步掌握老人健康状态，提升就医满意度。</w:t>
      </w:r>
    </w:p>
    <w:p w14:paraId="69BCDE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6.2.4</w:t>
      </w:r>
      <w:r>
        <w:rPr>
          <w:rFonts w:hint="eastAsia"/>
          <w:color w:val="000000"/>
          <w:sz w:val="24"/>
          <w:szCs w:val="24"/>
        </w:rPr>
        <w:t>拓展用途：支持科室健康宣教、团体体检、慢病定期复查、中医特色门诊初筛。</w:t>
      </w:r>
    </w:p>
    <w:p w14:paraId="3CF2E5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jc w:val="left"/>
        <w:textAlignment w:val="auto"/>
        <w:outlineLvl w:val="9"/>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7、售后服务硬性要求</w:t>
      </w:r>
    </w:p>
    <w:p w14:paraId="41ED94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highlight w:val="none"/>
        </w:rPr>
      </w:pPr>
      <w:r>
        <w:rPr>
          <w:rFonts w:hint="eastAsia"/>
          <w:color w:val="000000"/>
          <w:sz w:val="24"/>
          <w:szCs w:val="24"/>
          <w:highlight w:val="none"/>
          <w:lang w:val="en-US" w:eastAsia="zh-CN"/>
        </w:rPr>
        <w:t>7.1</w:t>
      </w:r>
      <w:r>
        <w:rPr>
          <w:color w:val="000000"/>
          <w:sz w:val="24"/>
          <w:szCs w:val="24"/>
          <w:highlight w:val="none"/>
        </w:rPr>
        <w:t>云端持续迭代：</w:t>
      </w:r>
      <w:r>
        <w:rPr>
          <w:rFonts w:hint="eastAsia"/>
          <w:color w:val="000000"/>
          <w:sz w:val="24"/>
          <w:szCs w:val="24"/>
          <w:highlight w:val="none"/>
          <w:lang w:val="en-US" w:eastAsia="zh-CN"/>
        </w:rPr>
        <w:t>3</w:t>
      </w:r>
      <w:r>
        <w:rPr>
          <w:color w:val="000000"/>
          <w:sz w:val="24"/>
          <w:szCs w:val="24"/>
          <w:highlight w:val="none"/>
        </w:rPr>
        <w:t>年服务期内平台所有功能升级、辨证算法优化、调理方案更新全部免费，无需额外付费；</w:t>
      </w:r>
    </w:p>
    <w:p w14:paraId="5D8832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7.2</w:t>
      </w:r>
      <w:r>
        <w:rPr>
          <w:color w:val="000000"/>
          <w:sz w:val="24"/>
          <w:szCs w:val="24"/>
        </w:rPr>
        <w:t>定期回访：供应商每季度上门回访两院科室，收集使用问题、优化建议，形成回访记录提交院方；</w:t>
      </w:r>
    </w:p>
    <w:p w14:paraId="08EBC4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color w:val="000000"/>
          <w:sz w:val="24"/>
          <w:szCs w:val="24"/>
        </w:rPr>
      </w:pPr>
      <w:r>
        <w:rPr>
          <w:rFonts w:hint="eastAsia"/>
          <w:color w:val="000000"/>
          <w:sz w:val="24"/>
          <w:szCs w:val="24"/>
          <w:lang w:val="en-US" w:eastAsia="zh-CN"/>
        </w:rPr>
        <w:t>7.3</w:t>
      </w:r>
      <w:r>
        <w:rPr>
          <w:color w:val="000000"/>
          <w:sz w:val="24"/>
          <w:szCs w:val="24"/>
        </w:rPr>
        <w:t>应急保障：系统出现大面积无法使用故障，供应商需提供临时离线检测方案，保障科室日常业务不中断；</w:t>
      </w:r>
    </w:p>
    <w:p w14:paraId="247ABD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outlineLvl w:val="9"/>
        <w:rPr>
          <w:rFonts w:hint="eastAsia" w:asciiTheme="minorEastAsia" w:hAnsiTheme="minorEastAsia" w:eastAsiaTheme="minorEastAsia" w:cstheme="minorEastAsia"/>
          <w:b w:val="0"/>
          <w:bCs w:val="0"/>
          <w:spacing w:val="-4"/>
          <w:kern w:val="2"/>
          <w:sz w:val="24"/>
          <w:szCs w:val="24"/>
          <w:lang w:val="en-US" w:eastAsia="zh-CN" w:bidi="ar-SA"/>
        </w:rPr>
      </w:pPr>
      <w:r>
        <w:rPr>
          <w:rFonts w:hint="eastAsia"/>
          <w:color w:val="000000"/>
          <w:sz w:val="24"/>
          <w:szCs w:val="24"/>
          <w:lang w:val="en-US" w:eastAsia="zh-CN"/>
        </w:rPr>
        <w:t>7.4</w:t>
      </w:r>
      <w:r>
        <w:rPr>
          <w:color w:val="000000"/>
          <w:sz w:val="24"/>
          <w:szCs w:val="24"/>
        </w:rPr>
        <w:t>服务期满后</w:t>
      </w:r>
      <w:r>
        <w:rPr>
          <w:rFonts w:hint="eastAsia"/>
          <w:color w:val="000000"/>
          <w:sz w:val="24"/>
          <w:szCs w:val="24"/>
          <w:lang w:eastAsia="zh-CN"/>
        </w:rPr>
        <w:t>：</w:t>
      </w:r>
      <w:r>
        <w:rPr>
          <w:color w:val="000000"/>
          <w:sz w:val="24"/>
          <w:szCs w:val="24"/>
        </w:rPr>
        <w:t>院方可免费咨询平台操作、数据导出</w:t>
      </w:r>
      <w:r>
        <w:rPr>
          <w:rFonts w:hint="eastAsia"/>
          <w:color w:val="000000"/>
          <w:sz w:val="24"/>
          <w:szCs w:val="24"/>
          <w:lang w:val="en-US" w:eastAsia="zh-CN"/>
        </w:rPr>
        <w:t>等</w:t>
      </w:r>
      <w:r>
        <w:rPr>
          <w:color w:val="000000"/>
          <w:sz w:val="24"/>
          <w:szCs w:val="24"/>
        </w:rPr>
        <w:t>相关技术问题。</w:t>
      </w:r>
    </w:p>
    <w:p w14:paraId="068B9F53">
      <w:pPr>
        <w:keepNext w:val="0"/>
        <w:keepLines w:val="0"/>
        <w:pageBreakBefore w:val="0"/>
        <w:widowControl w:val="0"/>
        <w:tabs>
          <w:tab w:val="left" w:pos="1050"/>
        </w:tabs>
        <w:kinsoku/>
        <w:wordWrap/>
        <w:overflowPunct/>
        <w:topLinePunct w:val="0"/>
        <w:autoSpaceDE/>
        <w:autoSpaceDN/>
        <w:bidi w:val="0"/>
        <w:adjustRightInd/>
        <w:snapToGrid/>
        <w:spacing w:line="440" w:lineRule="exact"/>
        <w:ind w:left="0" w:leftChars="0"/>
        <w:jc w:val="center"/>
        <w:textAlignment w:val="auto"/>
        <w:outlineLvl w:val="2"/>
        <w:rPr>
          <w:rFonts w:hint="eastAsia" w:asciiTheme="minorEastAsia" w:hAnsiTheme="minorEastAsia" w:eastAsiaTheme="minorEastAsia" w:cstheme="minorEastAsia"/>
          <w:b/>
          <w:sz w:val="24"/>
          <w:szCs w:val="24"/>
        </w:rPr>
      </w:pPr>
      <w:r>
        <w:rPr>
          <w:rFonts w:hint="eastAsia" w:asciiTheme="minorEastAsia" w:hAnsiTheme="minorEastAsia" w:cstheme="minorEastAsia"/>
          <w:b/>
          <w:sz w:val="24"/>
          <w:szCs w:val="24"/>
          <w:lang w:val="en-US" w:eastAsia="zh-CN"/>
        </w:rPr>
        <w:t>二</w:t>
      </w:r>
      <w:r>
        <w:rPr>
          <w:rFonts w:hint="eastAsia" w:asciiTheme="minorEastAsia" w:hAnsiTheme="minorEastAsia" w:eastAsiaTheme="minorEastAsia" w:cstheme="minorEastAsia"/>
          <w:b/>
          <w:sz w:val="24"/>
          <w:szCs w:val="24"/>
        </w:rPr>
        <w:t>、商务要求</w:t>
      </w:r>
    </w:p>
    <w:p w14:paraId="492F7368">
      <w:pPr>
        <w:pStyle w:val="2"/>
        <w:keepNext w:val="0"/>
        <w:keepLines w:val="0"/>
        <w:pageBreakBefore w:val="0"/>
        <w:kinsoku/>
        <w:wordWrap/>
        <w:overflowPunct/>
        <w:topLinePunct w:val="0"/>
        <w:bidi w:val="0"/>
        <w:spacing w:line="440" w:lineRule="exact"/>
        <w:ind w:firstLine="0"/>
        <w:jc w:val="center"/>
        <w:rPr>
          <w:rFonts w:hint="eastAsia"/>
          <w:sz w:val="22"/>
          <w:szCs w:val="22"/>
        </w:rPr>
      </w:pPr>
      <w:r>
        <w:rPr>
          <w:rFonts w:hint="eastAsia" w:ascii="宋体" w:hAnsi="宋体" w:cs="宋体"/>
          <w:b/>
          <w:sz w:val="24"/>
          <w:szCs w:val="24"/>
          <w:highlight w:val="yellow"/>
        </w:rPr>
        <w:t>（本项目商务要求为不允许负偏离的实质性要求和条件）</w:t>
      </w:r>
    </w:p>
    <w:p w14:paraId="18D07E8C">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en-US"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1、软件的设计开发、安装调试、试运行、验收等按照以下原则执行：有国家标准的执行国家标准；无国家标准的执行行业标准，无行业标准的执行地方标准；无地方标准的执行企业标准。所有软件必须为正版。</w:t>
      </w:r>
    </w:p>
    <w:p w14:paraId="4DEFE64F">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en-US"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2、技术支持</w:t>
      </w:r>
    </w:p>
    <w:p w14:paraId="4EB5EC7C">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en-US"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 xml:space="preserve">2.1 </w:t>
      </w:r>
      <w:r>
        <w:rPr>
          <w:rFonts w:hint="eastAsia" w:asciiTheme="minorEastAsia" w:hAnsiTheme="minorEastAsia" w:cstheme="minorEastAsia"/>
          <w:b w:val="0"/>
          <w:bCs w:val="0"/>
          <w:spacing w:val="-4"/>
          <w:kern w:val="2"/>
          <w:sz w:val="24"/>
          <w:szCs w:val="24"/>
          <w:highlight w:val="none"/>
          <w:lang w:val="en-US" w:eastAsia="zh-CN" w:bidi="ar-SA"/>
        </w:rPr>
        <w:t>供应商</w:t>
      </w:r>
      <w:r>
        <w:rPr>
          <w:rFonts w:hint="eastAsia" w:asciiTheme="minorEastAsia" w:hAnsiTheme="minorEastAsia" w:eastAsiaTheme="minorEastAsia" w:cstheme="minorEastAsia"/>
          <w:b w:val="0"/>
          <w:bCs w:val="0"/>
          <w:spacing w:val="-4"/>
          <w:kern w:val="2"/>
          <w:sz w:val="24"/>
          <w:szCs w:val="24"/>
          <w:highlight w:val="none"/>
          <w:lang w:val="en-US" w:eastAsia="zh-CN" w:bidi="ar-SA"/>
        </w:rPr>
        <w:t>应向采购人提供全方位及时而有效的技术支持和服务。</w:t>
      </w:r>
    </w:p>
    <w:p w14:paraId="1179DBDB">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en-US"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2.2 如</w:t>
      </w:r>
      <w:r>
        <w:rPr>
          <w:rFonts w:hint="eastAsia" w:asciiTheme="minorEastAsia" w:hAnsiTheme="minorEastAsia" w:cstheme="minorEastAsia"/>
          <w:b w:val="0"/>
          <w:bCs w:val="0"/>
          <w:spacing w:val="-4"/>
          <w:kern w:val="2"/>
          <w:sz w:val="24"/>
          <w:szCs w:val="24"/>
          <w:highlight w:val="none"/>
          <w:lang w:val="en-US" w:eastAsia="zh-CN" w:bidi="ar-SA"/>
        </w:rPr>
        <w:t>供应商</w:t>
      </w:r>
      <w:r>
        <w:rPr>
          <w:rFonts w:hint="eastAsia" w:asciiTheme="minorEastAsia" w:hAnsiTheme="minorEastAsia" w:eastAsiaTheme="minorEastAsia" w:cstheme="minorEastAsia"/>
          <w:b w:val="0"/>
          <w:bCs w:val="0"/>
          <w:spacing w:val="-4"/>
          <w:kern w:val="2"/>
          <w:sz w:val="24"/>
          <w:szCs w:val="24"/>
          <w:highlight w:val="none"/>
          <w:lang w:val="en-US" w:eastAsia="zh-CN" w:bidi="ar-SA"/>
        </w:rPr>
        <w:t>发生兼并、重组，采购人本项目的建设、维护等相关工作必须由新组建的公司按</w:t>
      </w:r>
      <w:r>
        <w:rPr>
          <w:rFonts w:hint="eastAsia" w:asciiTheme="minorEastAsia" w:hAnsiTheme="minorEastAsia" w:cstheme="minorEastAsia"/>
          <w:b w:val="0"/>
          <w:bCs w:val="0"/>
          <w:spacing w:val="-4"/>
          <w:kern w:val="2"/>
          <w:sz w:val="24"/>
          <w:szCs w:val="24"/>
          <w:highlight w:val="none"/>
          <w:lang w:val="en-US" w:eastAsia="zh-CN" w:bidi="ar-SA"/>
        </w:rPr>
        <w:t>磋商</w:t>
      </w:r>
      <w:r>
        <w:rPr>
          <w:rFonts w:hint="eastAsia" w:asciiTheme="minorEastAsia" w:hAnsiTheme="minorEastAsia" w:eastAsiaTheme="minorEastAsia" w:cstheme="minorEastAsia"/>
          <w:b w:val="0"/>
          <w:bCs w:val="0"/>
          <w:spacing w:val="-4"/>
          <w:kern w:val="2"/>
          <w:sz w:val="24"/>
          <w:szCs w:val="24"/>
          <w:highlight w:val="none"/>
          <w:lang w:val="en-US" w:eastAsia="zh-CN" w:bidi="ar-SA"/>
        </w:rPr>
        <w:t>文件及</w:t>
      </w:r>
      <w:r>
        <w:rPr>
          <w:rFonts w:hint="eastAsia" w:asciiTheme="minorEastAsia" w:hAnsiTheme="minorEastAsia" w:cstheme="minorEastAsia"/>
          <w:b w:val="0"/>
          <w:bCs w:val="0"/>
          <w:spacing w:val="-4"/>
          <w:kern w:val="2"/>
          <w:sz w:val="24"/>
          <w:szCs w:val="24"/>
          <w:highlight w:val="none"/>
          <w:lang w:val="en-US" w:eastAsia="zh-CN" w:bidi="ar-SA"/>
        </w:rPr>
        <w:t>响应文件</w:t>
      </w:r>
      <w:r>
        <w:rPr>
          <w:rFonts w:hint="eastAsia" w:asciiTheme="minorEastAsia" w:hAnsiTheme="minorEastAsia" w:eastAsiaTheme="minorEastAsia" w:cstheme="minorEastAsia"/>
          <w:b w:val="0"/>
          <w:bCs w:val="0"/>
          <w:spacing w:val="-4"/>
          <w:kern w:val="2"/>
          <w:sz w:val="24"/>
          <w:szCs w:val="24"/>
          <w:highlight w:val="none"/>
          <w:lang w:val="en-US" w:eastAsia="zh-CN" w:bidi="ar-SA"/>
        </w:rPr>
        <w:t>承担相应的义务。</w:t>
      </w:r>
    </w:p>
    <w:p w14:paraId="0118B3CC">
      <w:pPr>
        <w:keepNext w:val="0"/>
        <w:keepLines w:val="0"/>
        <w:pageBreakBefore w:val="0"/>
        <w:kinsoku/>
        <w:wordWrap/>
        <w:overflowPunct/>
        <w:topLinePunct w:val="0"/>
        <w:bidi w:val="0"/>
        <w:spacing w:line="440" w:lineRule="exact"/>
        <w:ind w:firstLine="482" w:firstLineChars="200"/>
        <w:rPr>
          <w:rFonts w:ascii="宋体" w:hAnsi="宋体"/>
          <w:b/>
          <w:bCs/>
          <w:color w:val="000000"/>
          <w:sz w:val="24"/>
          <w:szCs w:val="24"/>
          <w:highlight w:val="yellow"/>
        </w:rPr>
      </w:pPr>
      <w:r>
        <w:rPr>
          <w:rFonts w:hint="eastAsia" w:ascii="宋体" w:hAnsi="宋体"/>
          <w:b/>
          <w:bCs/>
          <w:color w:val="000000"/>
          <w:sz w:val="24"/>
          <w:szCs w:val="24"/>
          <w:highlight w:val="yellow"/>
        </w:rPr>
        <w:t>3、供应商须在响应文件中提供所报中医体质辨识仪（中医体质辨识系统）的医疗器械注册证扫描件(在有效期内)，否则视为商务要求未完全响应。</w:t>
      </w:r>
    </w:p>
    <w:p w14:paraId="25A17AB9">
      <w:pPr>
        <w:keepNext w:val="0"/>
        <w:keepLines w:val="0"/>
        <w:pageBreakBefore w:val="0"/>
        <w:kinsoku/>
        <w:wordWrap/>
        <w:overflowPunct/>
        <w:topLinePunct w:val="0"/>
        <w:bidi w:val="0"/>
        <w:spacing w:line="440" w:lineRule="exact"/>
        <w:ind w:firstLine="464" w:firstLineChars="200"/>
        <w:rPr>
          <w:rFonts w:ascii="宋体" w:hAnsi="宋体"/>
          <w:b/>
          <w:bCs/>
          <w:color w:val="000000"/>
          <w:sz w:val="24"/>
          <w:szCs w:val="24"/>
          <w:highlight w:val="yellow"/>
        </w:rPr>
      </w:pPr>
      <w:r>
        <w:rPr>
          <w:rFonts w:hint="eastAsia" w:asciiTheme="minorEastAsia" w:hAnsiTheme="minorEastAsia" w:cstheme="minorEastAsia"/>
          <w:b w:val="0"/>
          <w:bCs w:val="0"/>
          <w:spacing w:val="-4"/>
          <w:kern w:val="2"/>
          <w:sz w:val="24"/>
          <w:szCs w:val="24"/>
          <w:highlight w:val="yellow"/>
          <w:lang w:val="en-US" w:eastAsia="zh-CN" w:bidi="ar-SA"/>
        </w:rPr>
        <w:t>4、</w:t>
      </w:r>
      <w:r>
        <w:rPr>
          <w:rFonts w:hint="eastAsia" w:ascii="宋体" w:hAnsi="宋体"/>
          <w:b/>
          <w:bCs/>
          <w:color w:val="000000"/>
          <w:sz w:val="24"/>
          <w:szCs w:val="24"/>
          <w:highlight w:val="yellow"/>
        </w:rPr>
        <w:t>供应商须在响应文件中提供</w:t>
      </w:r>
      <w:r>
        <w:rPr>
          <w:rFonts w:hint="eastAsia" w:ascii="宋体" w:hAnsi="宋体"/>
          <w:b/>
          <w:bCs/>
          <w:color w:val="000000"/>
          <w:sz w:val="24"/>
          <w:szCs w:val="24"/>
          <w:highlight w:val="yellow"/>
          <w:lang w:val="en-US" w:eastAsia="zh-CN"/>
        </w:rPr>
        <w:t>所投软件制造商的软件著作权证书、云服务三级等保测评报告</w:t>
      </w:r>
      <w:r>
        <w:rPr>
          <w:rFonts w:hint="eastAsia" w:ascii="宋体" w:hAnsi="宋体"/>
          <w:b/>
          <w:bCs/>
          <w:color w:val="000000"/>
          <w:sz w:val="24"/>
          <w:szCs w:val="24"/>
          <w:highlight w:val="yellow"/>
        </w:rPr>
        <w:t>(在有效期内)</w:t>
      </w:r>
      <w:r>
        <w:rPr>
          <w:rFonts w:hint="eastAsia" w:ascii="宋体" w:hAnsi="宋体"/>
          <w:b/>
          <w:bCs/>
          <w:color w:val="000000"/>
          <w:sz w:val="24"/>
          <w:szCs w:val="24"/>
          <w:highlight w:val="yellow"/>
          <w:lang w:val="en-US" w:eastAsia="zh-CN"/>
        </w:rPr>
        <w:t>，</w:t>
      </w:r>
      <w:r>
        <w:rPr>
          <w:rFonts w:hint="eastAsia" w:ascii="宋体" w:hAnsi="宋体"/>
          <w:b/>
          <w:bCs/>
          <w:color w:val="000000"/>
          <w:sz w:val="24"/>
          <w:szCs w:val="24"/>
          <w:highlight w:val="yellow"/>
        </w:rPr>
        <w:t>否则视为商务要求未完全响应。</w:t>
      </w:r>
    </w:p>
    <w:p w14:paraId="6AD1882C">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en-US"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5、</w:t>
      </w:r>
      <w:r>
        <w:rPr>
          <w:rFonts w:hint="eastAsia" w:asciiTheme="minorEastAsia" w:hAnsiTheme="minorEastAsia" w:cstheme="minorEastAsia"/>
          <w:b w:val="0"/>
          <w:bCs w:val="0"/>
          <w:spacing w:val="-4"/>
          <w:kern w:val="2"/>
          <w:sz w:val="24"/>
          <w:szCs w:val="24"/>
          <w:highlight w:val="none"/>
          <w:lang w:val="en-US" w:eastAsia="zh-CN" w:bidi="ar-SA"/>
        </w:rPr>
        <w:t>供应商</w:t>
      </w:r>
      <w:r>
        <w:rPr>
          <w:rFonts w:hint="eastAsia" w:asciiTheme="minorEastAsia" w:hAnsiTheme="minorEastAsia" w:eastAsiaTheme="minorEastAsia" w:cstheme="minorEastAsia"/>
          <w:b w:val="0"/>
          <w:bCs w:val="0"/>
          <w:spacing w:val="-4"/>
          <w:kern w:val="2"/>
          <w:sz w:val="24"/>
          <w:szCs w:val="24"/>
          <w:highlight w:val="none"/>
          <w:lang w:val="en-US" w:eastAsia="zh-CN" w:bidi="ar-SA"/>
        </w:rPr>
        <w:t>须设有运维服务电话，负责解答采购人在使用中遇到的问题，及时提出解决问题的建议和操作方法。</w:t>
      </w:r>
    </w:p>
    <w:p w14:paraId="2CF85F67">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en-US" w:eastAsia="zh-CN" w:bidi="ar-SA"/>
        </w:rPr>
      </w:pPr>
      <w:r>
        <w:rPr>
          <w:rFonts w:hint="eastAsia" w:asciiTheme="minorEastAsia" w:hAnsiTheme="minorEastAsia" w:cstheme="minorEastAsia"/>
          <w:b w:val="0"/>
          <w:bCs w:val="0"/>
          <w:spacing w:val="-4"/>
          <w:kern w:val="2"/>
          <w:sz w:val="24"/>
          <w:szCs w:val="24"/>
          <w:highlight w:val="none"/>
          <w:lang w:val="en-US" w:eastAsia="zh-CN" w:bidi="ar-SA"/>
        </w:rPr>
        <w:t>6、</w:t>
      </w:r>
      <w:r>
        <w:rPr>
          <w:rFonts w:hint="eastAsia" w:asciiTheme="minorEastAsia" w:hAnsiTheme="minorEastAsia" w:eastAsiaTheme="minorEastAsia" w:cstheme="minorEastAsia"/>
          <w:b w:val="0"/>
          <w:bCs w:val="0"/>
          <w:spacing w:val="-4"/>
          <w:kern w:val="2"/>
          <w:sz w:val="24"/>
          <w:szCs w:val="24"/>
          <w:highlight w:val="none"/>
          <w:lang w:val="en-US" w:eastAsia="zh-CN" w:bidi="ar-SA"/>
        </w:rPr>
        <w:t>售后服务响应时间：7×12 小时在线技术客服，工作日、节假日均可对接；线上系统故障 30 分钟内响应，远程排查解决；硬件故障 48 小时内工程师上门；</w:t>
      </w:r>
    </w:p>
    <w:p w14:paraId="68492742">
      <w:pPr>
        <w:keepNext w:val="0"/>
        <w:keepLines w:val="0"/>
        <w:pageBreakBefore w:val="0"/>
        <w:widowControl w:val="0"/>
        <w:kinsoku/>
        <w:wordWrap/>
        <w:overflowPunct/>
        <w:topLinePunct w:val="0"/>
        <w:autoSpaceDE/>
        <w:autoSpaceDN/>
        <w:bidi w:val="0"/>
        <w:adjustRightInd/>
        <w:snapToGrid/>
        <w:spacing w:line="440" w:lineRule="exact"/>
        <w:ind w:left="0" w:leftChars="0" w:firstLine="466" w:firstLineChars="200"/>
        <w:jc w:val="both"/>
        <w:textAlignment w:val="auto"/>
        <w:outlineLvl w:val="0"/>
        <w:rPr>
          <w:rFonts w:hint="eastAsia" w:asciiTheme="minorEastAsia" w:hAnsiTheme="minorEastAsia" w:eastAsiaTheme="minorEastAsia" w:cstheme="minorEastAsia"/>
          <w:b/>
          <w:bCs/>
          <w:spacing w:val="-4"/>
          <w:kern w:val="2"/>
          <w:sz w:val="24"/>
          <w:szCs w:val="24"/>
          <w:highlight w:val="none"/>
          <w:lang w:val="en-US" w:eastAsia="zh-CN" w:bidi="ar-SA"/>
        </w:rPr>
      </w:pPr>
      <w:r>
        <w:rPr>
          <w:rFonts w:hint="eastAsia" w:asciiTheme="minorEastAsia" w:hAnsiTheme="minorEastAsia" w:eastAsiaTheme="minorEastAsia" w:cstheme="minorEastAsia"/>
          <w:b/>
          <w:bCs/>
          <w:spacing w:val="-4"/>
          <w:kern w:val="2"/>
          <w:sz w:val="24"/>
          <w:szCs w:val="24"/>
          <w:highlight w:val="none"/>
          <w:lang w:val="en-US" w:eastAsia="zh-CN" w:bidi="ar-SA"/>
        </w:rPr>
        <w:t>7、服务期限：成交供应商应在合同签订之日起60个日历日内完成软硬件的开发、安装调试和交付使用；</w:t>
      </w:r>
      <w:r>
        <w:rPr>
          <w:rFonts w:hint="eastAsia" w:asciiTheme="minorEastAsia" w:hAnsiTheme="minorEastAsia" w:eastAsiaTheme="minorEastAsia" w:cstheme="minorEastAsia"/>
          <w:b/>
          <w:bCs/>
          <w:spacing w:val="-4"/>
          <w:kern w:val="2"/>
          <w:sz w:val="24"/>
          <w:szCs w:val="24"/>
          <w:highlight w:val="none"/>
          <w:lang w:val="zh-CN" w:eastAsia="zh-CN" w:bidi="ar-SA"/>
        </w:rPr>
        <w:t>自项目验收</w:t>
      </w:r>
      <w:r>
        <w:rPr>
          <w:rFonts w:hint="eastAsia" w:asciiTheme="minorEastAsia" w:hAnsiTheme="minorEastAsia" w:eastAsiaTheme="minorEastAsia" w:cstheme="minorEastAsia"/>
          <w:b/>
          <w:bCs/>
          <w:spacing w:val="-4"/>
          <w:kern w:val="2"/>
          <w:sz w:val="24"/>
          <w:szCs w:val="24"/>
          <w:highlight w:val="none"/>
          <w:lang w:val="en-US" w:eastAsia="zh-CN" w:bidi="ar-SA"/>
        </w:rPr>
        <w:t>合格</w:t>
      </w:r>
      <w:r>
        <w:rPr>
          <w:rFonts w:hint="eastAsia" w:asciiTheme="minorEastAsia" w:hAnsiTheme="minorEastAsia" w:eastAsiaTheme="minorEastAsia" w:cstheme="minorEastAsia"/>
          <w:b/>
          <w:bCs/>
          <w:spacing w:val="-4"/>
          <w:kern w:val="2"/>
          <w:sz w:val="24"/>
          <w:szCs w:val="24"/>
          <w:highlight w:val="none"/>
          <w:lang w:val="zh-CN" w:eastAsia="zh-CN" w:bidi="ar-SA"/>
        </w:rPr>
        <w:t>之日起</w:t>
      </w:r>
      <w:r>
        <w:rPr>
          <w:rFonts w:hint="eastAsia" w:asciiTheme="minorEastAsia" w:hAnsiTheme="minorEastAsia" w:eastAsiaTheme="minorEastAsia" w:cstheme="minorEastAsia"/>
          <w:b/>
          <w:bCs/>
          <w:spacing w:val="-4"/>
          <w:kern w:val="2"/>
          <w:sz w:val="24"/>
          <w:szCs w:val="24"/>
          <w:highlight w:val="none"/>
          <w:lang w:val="en-US" w:eastAsia="zh-CN" w:bidi="ar-SA"/>
        </w:rPr>
        <w:t>提供</w:t>
      </w:r>
      <w:r>
        <w:rPr>
          <w:rFonts w:hint="eastAsia" w:asciiTheme="minorEastAsia" w:hAnsiTheme="minorEastAsia" w:cstheme="minorEastAsia"/>
          <w:b/>
          <w:bCs/>
          <w:spacing w:val="-4"/>
          <w:kern w:val="2"/>
          <w:sz w:val="24"/>
          <w:szCs w:val="24"/>
          <w:highlight w:val="none"/>
          <w:lang w:val="en-US" w:eastAsia="zh-CN" w:bidi="ar-SA"/>
        </w:rPr>
        <w:t>三</w:t>
      </w:r>
      <w:r>
        <w:rPr>
          <w:rFonts w:hint="eastAsia" w:asciiTheme="minorEastAsia" w:hAnsiTheme="minorEastAsia" w:eastAsiaTheme="minorEastAsia" w:cstheme="minorEastAsia"/>
          <w:b/>
          <w:bCs/>
          <w:spacing w:val="-4"/>
          <w:kern w:val="2"/>
          <w:sz w:val="24"/>
          <w:szCs w:val="24"/>
          <w:highlight w:val="none"/>
          <w:lang w:val="en-US" w:eastAsia="zh-CN" w:bidi="ar-SA"/>
        </w:rPr>
        <w:t>年</w:t>
      </w:r>
      <w:r>
        <w:rPr>
          <w:rFonts w:hint="eastAsia" w:asciiTheme="minorEastAsia" w:hAnsiTheme="minorEastAsia" w:eastAsiaTheme="minorEastAsia" w:cstheme="minorEastAsia"/>
          <w:b/>
          <w:bCs/>
          <w:spacing w:val="-4"/>
          <w:kern w:val="2"/>
          <w:sz w:val="24"/>
          <w:szCs w:val="24"/>
          <w:highlight w:val="none"/>
          <w:lang w:val="en-US" w:eastAsia="zh-CN" w:bidi="ar-SA"/>
        </w:rPr>
        <w:t>中医人工智能健康状态辨识云服务。</w:t>
      </w:r>
    </w:p>
    <w:p w14:paraId="1EBE6631">
      <w:pPr>
        <w:keepNext w:val="0"/>
        <w:keepLines w:val="0"/>
        <w:pageBreakBefore w:val="0"/>
        <w:widowControl w:val="0"/>
        <w:kinsoku/>
        <w:wordWrap/>
        <w:overflowPunct/>
        <w:topLinePunct w:val="0"/>
        <w:autoSpaceDE/>
        <w:autoSpaceDN/>
        <w:bidi w:val="0"/>
        <w:adjustRightInd/>
        <w:snapToGrid/>
        <w:spacing w:line="440" w:lineRule="exact"/>
        <w:ind w:left="0" w:leftChars="0" w:firstLine="466" w:firstLineChars="200"/>
        <w:jc w:val="both"/>
        <w:textAlignment w:val="auto"/>
        <w:outlineLvl w:val="0"/>
        <w:rPr>
          <w:rFonts w:hint="eastAsia" w:asciiTheme="minorEastAsia" w:hAnsiTheme="minorEastAsia" w:eastAsiaTheme="minorEastAsia" w:cstheme="minorEastAsia"/>
          <w:b/>
          <w:bCs/>
          <w:spacing w:val="-4"/>
          <w:kern w:val="2"/>
          <w:sz w:val="24"/>
          <w:szCs w:val="24"/>
          <w:highlight w:val="none"/>
          <w:lang w:val="zh-CN" w:eastAsia="zh-CN" w:bidi="ar-SA"/>
        </w:rPr>
      </w:pPr>
      <w:r>
        <w:rPr>
          <w:rFonts w:hint="eastAsia" w:asciiTheme="minorEastAsia" w:hAnsiTheme="minorEastAsia" w:eastAsiaTheme="minorEastAsia" w:cstheme="minorEastAsia"/>
          <w:b/>
          <w:bCs/>
          <w:spacing w:val="-4"/>
          <w:kern w:val="2"/>
          <w:sz w:val="24"/>
          <w:szCs w:val="24"/>
          <w:highlight w:val="none"/>
          <w:lang w:val="en-US" w:eastAsia="zh-CN" w:bidi="ar-SA"/>
        </w:rPr>
        <w:t>8、</w:t>
      </w:r>
      <w:r>
        <w:rPr>
          <w:rFonts w:hint="eastAsia" w:asciiTheme="minorEastAsia" w:hAnsiTheme="minorEastAsia" w:eastAsiaTheme="minorEastAsia" w:cstheme="minorEastAsia"/>
          <w:b/>
          <w:bCs/>
          <w:spacing w:val="-4"/>
          <w:kern w:val="2"/>
          <w:sz w:val="24"/>
          <w:szCs w:val="24"/>
          <w:highlight w:val="none"/>
          <w:lang w:val="zh-CN" w:eastAsia="zh-CN" w:bidi="ar-SA"/>
        </w:rPr>
        <w:t>服务地点：马鞍山市</w:t>
      </w:r>
      <w:r>
        <w:rPr>
          <w:rFonts w:hint="eastAsia" w:asciiTheme="minorEastAsia" w:hAnsiTheme="minorEastAsia" w:eastAsiaTheme="minorEastAsia" w:cstheme="minorEastAsia"/>
          <w:b/>
          <w:bCs/>
          <w:spacing w:val="-4"/>
          <w:kern w:val="2"/>
          <w:sz w:val="24"/>
          <w:szCs w:val="24"/>
          <w:highlight w:val="none"/>
          <w:lang w:val="en-US" w:eastAsia="zh-CN" w:bidi="ar-SA"/>
        </w:rPr>
        <w:t>中医院</w:t>
      </w:r>
      <w:r>
        <w:rPr>
          <w:rFonts w:hint="eastAsia" w:asciiTheme="minorEastAsia" w:hAnsiTheme="minorEastAsia" w:eastAsiaTheme="minorEastAsia" w:cstheme="minorEastAsia"/>
          <w:b/>
          <w:bCs/>
          <w:spacing w:val="-4"/>
          <w:kern w:val="2"/>
          <w:sz w:val="24"/>
          <w:szCs w:val="24"/>
          <w:highlight w:val="none"/>
          <w:lang w:val="zh-CN" w:eastAsia="zh-CN" w:bidi="ar-SA"/>
        </w:rPr>
        <w:t>（采购人指定地点）。</w:t>
      </w:r>
    </w:p>
    <w:p w14:paraId="46DBB9B3">
      <w:pPr>
        <w:keepNext w:val="0"/>
        <w:keepLines w:val="0"/>
        <w:pageBreakBefore w:val="0"/>
        <w:widowControl w:val="0"/>
        <w:kinsoku/>
        <w:wordWrap/>
        <w:overflowPunct/>
        <w:topLinePunct w:val="0"/>
        <w:autoSpaceDE/>
        <w:autoSpaceDN/>
        <w:bidi w:val="0"/>
        <w:adjustRightInd/>
        <w:snapToGrid/>
        <w:spacing w:line="440" w:lineRule="exact"/>
        <w:ind w:left="0" w:leftChars="0" w:firstLine="466" w:firstLineChars="200"/>
        <w:jc w:val="both"/>
        <w:textAlignment w:val="auto"/>
        <w:outlineLvl w:val="0"/>
        <w:rPr>
          <w:rFonts w:hint="eastAsia" w:asciiTheme="minorEastAsia" w:hAnsiTheme="minorEastAsia" w:eastAsiaTheme="minorEastAsia" w:cstheme="minorEastAsia"/>
          <w:b/>
          <w:bCs/>
          <w:spacing w:val="-4"/>
          <w:kern w:val="2"/>
          <w:sz w:val="24"/>
          <w:szCs w:val="24"/>
          <w:highlight w:val="none"/>
          <w:lang w:val="en-US" w:eastAsia="zh-CN" w:bidi="ar-SA"/>
        </w:rPr>
      </w:pPr>
      <w:r>
        <w:rPr>
          <w:rFonts w:hint="eastAsia" w:asciiTheme="minorEastAsia" w:hAnsiTheme="minorEastAsia" w:eastAsiaTheme="minorEastAsia" w:cstheme="minorEastAsia"/>
          <w:b/>
          <w:bCs/>
          <w:spacing w:val="-4"/>
          <w:kern w:val="2"/>
          <w:sz w:val="24"/>
          <w:szCs w:val="24"/>
          <w:highlight w:val="none"/>
          <w:lang w:val="en-US" w:eastAsia="zh-CN" w:bidi="ar-SA"/>
        </w:rPr>
        <w:t>9</w:t>
      </w:r>
      <w:r>
        <w:rPr>
          <w:rFonts w:hint="eastAsia" w:asciiTheme="minorEastAsia" w:hAnsiTheme="minorEastAsia" w:eastAsiaTheme="minorEastAsia" w:cstheme="minorEastAsia"/>
          <w:b/>
          <w:bCs/>
          <w:spacing w:val="-4"/>
          <w:kern w:val="2"/>
          <w:sz w:val="24"/>
          <w:szCs w:val="24"/>
          <w:highlight w:val="none"/>
          <w:lang w:val="zh-CN" w:eastAsia="zh-CN" w:bidi="ar-SA"/>
        </w:rPr>
        <w:t>、</w:t>
      </w:r>
      <w:r>
        <w:rPr>
          <w:rFonts w:hint="eastAsia" w:asciiTheme="minorEastAsia" w:hAnsiTheme="minorEastAsia" w:eastAsiaTheme="minorEastAsia" w:cstheme="minorEastAsia"/>
          <w:b/>
          <w:bCs/>
          <w:spacing w:val="-4"/>
          <w:kern w:val="2"/>
          <w:sz w:val="24"/>
          <w:szCs w:val="24"/>
          <w:highlight w:val="none"/>
          <w:lang w:val="en-US" w:eastAsia="zh-CN" w:bidi="ar-SA"/>
        </w:rPr>
        <w:t>质保期限</w:t>
      </w:r>
      <w:r>
        <w:rPr>
          <w:rFonts w:hint="eastAsia" w:asciiTheme="minorEastAsia" w:hAnsiTheme="minorEastAsia" w:eastAsiaTheme="minorEastAsia" w:cstheme="minorEastAsia"/>
          <w:b/>
          <w:bCs/>
          <w:spacing w:val="-4"/>
          <w:kern w:val="2"/>
          <w:sz w:val="24"/>
          <w:szCs w:val="24"/>
          <w:highlight w:val="none"/>
          <w:lang w:val="zh-CN" w:eastAsia="zh-CN" w:bidi="ar-SA"/>
        </w:rPr>
        <w:t>：自项目验收</w:t>
      </w:r>
      <w:r>
        <w:rPr>
          <w:rFonts w:hint="eastAsia" w:asciiTheme="minorEastAsia" w:hAnsiTheme="minorEastAsia" w:eastAsiaTheme="minorEastAsia" w:cstheme="minorEastAsia"/>
          <w:b/>
          <w:bCs/>
          <w:spacing w:val="-4"/>
          <w:kern w:val="2"/>
          <w:sz w:val="24"/>
          <w:szCs w:val="24"/>
          <w:highlight w:val="none"/>
          <w:lang w:val="en-US" w:eastAsia="zh-CN" w:bidi="ar-SA"/>
        </w:rPr>
        <w:t>合格</w:t>
      </w:r>
      <w:r>
        <w:rPr>
          <w:rFonts w:hint="eastAsia" w:asciiTheme="minorEastAsia" w:hAnsiTheme="minorEastAsia" w:eastAsiaTheme="minorEastAsia" w:cstheme="minorEastAsia"/>
          <w:b/>
          <w:bCs/>
          <w:spacing w:val="-4"/>
          <w:kern w:val="2"/>
          <w:sz w:val="24"/>
          <w:szCs w:val="24"/>
          <w:highlight w:val="none"/>
          <w:lang w:val="zh-CN" w:eastAsia="zh-CN" w:bidi="ar-SA"/>
        </w:rPr>
        <w:t>之日起</w:t>
      </w:r>
      <w:r>
        <w:rPr>
          <w:rFonts w:hint="eastAsia" w:asciiTheme="minorEastAsia" w:hAnsiTheme="minorEastAsia" w:eastAsiaTheme="minorEastAsia" w:cstheme="minorEastAsia"/>
          <w:b/>
          <w:bCs/>
          <w:spacing w:val="-4"/>
          <w:kern w:val="2"/>
          <w:sz w:val="24"/>
          <w:szCs w:val="24"/>
          <w:highlight w:val="none"/>
          <w:lang w:val="en-US" w:eastAsia="zh-CN" w:bidi="ar-SA"/>
        </w:rPr>
        <w:t>提供</w:t>
      </w:r>
      <w:r>
        <w:rPr>
          <w:rFonts w:hint="eastAsia" w:asciiTheme="minorEastAsia" w:hAnsiTheme="minorEastAsia" w:eastAsiaTheme="minorEastAsia" w:cstheme="minorEastAsia"/>
          <w:b/>
          <w:bCs/>
          <w:spacing w:val="-4"/>
          <w:kern w:val="2"/>
          <w:sz w:val="24"/>
          <w:szCs w:val="24"/>
          <w:highlight w:val="none"/>
          <w:lang w:val="zh-CN" w:eastAsia="zh-CN" w:bidi="ar-SA"/>
        </w:rPr>
        <w:t>中医体质辨识仪（中医体质辨识系统）</w:t>
      </w:r>
      <w:r>
        <w:rPr>
          <w:rFonts w:hint="eastAsia" w:asciiTheme="minorEastAsia" w:hAnsiTheme="minorEastAsia" w:eastAsiaTheme="minorEastAsia" w:cstheme="minorEastAsia"/>
          <w:b/>
          <w:bCs/>
          <w:spacing w:val="-4"/>
          <w:kern w:val="2"/>
          <w:sz w:val="24"/>
          <w:szCs w:val="24"/>
          <w:highlight w:val="none"/>
          <w:lang w:val="en-US" w:eastAsia="zh-CN" w:bidi="ar-SA"/>
        </w:rPr>
        <w:t>3年免费质保期（</w:t>
      </w:r>
      <w:r>
        <w:rPr>
          <w:rFonts w:hint="eastAsia" w:asciiTheme="minorEastAsia" w:hAnsiTheme="minorEastAsia" w:eastAsiaTheme="minorEastAsia" w:cstheme="minorEastAsia"/>
          <w:b/>
          <w:bCs/>
          <w:spacing w:val="-4"/>
          <w:kern w:val="2"/>
          <w:sz w:val="24"/>
          <w:szCs w:val="24"/>
          <w:highlight w:val="none"/>
          <w:lang w:val="zh-CN" w:eastAsia="zh-CN" w:bidi="ar-SA"/>
        </w:rPr>
        <w:t>含采集摄像头、触控屏、主机</w:t>
      </w:r>
      <w:r>
        <w:rPr>
          <w:rFonts w:hint="eastAsia" w:asciiTheme="minorEastAsia" w:hAnsiTheme="minorEastAsia" w:eastAsiaTheme="minorEastAsia" w:cstheme="minorEastAsia"/>
          <w:b/>
          <w:bCs/>
          <w:spacing w:val="-4"/>
          <w:kern w:val="2"/>
          <w:sz w:val="24"/>
          <w:szCs w:val="24"/>
          <w:highlight w:val="none"/>
          <w:lang w:val="en-US" w:eastAsia="zh-CN" w:bidi="ar-SA"/>
        </w:rPr>
        <w:t>等</w:t>
      </w:r>
      <w:r>
        <w:rPr>
          <w:rFonts w:hint="eastAsia" w:asciiTheme="minorEastAsia" w:hAnsiTheme="minorEastAsia" w:eastAsiaTheme="minorEastAsia" w:cstheme="minorEastAsia"/>
          <w:b/>
          <w:bCs/>
          <w:spacing w:val="-4"/>
          <w:kern w:val="2"/>
          <w:sz w:val="24"/>
          <w:szCs w:val="24"/>
          <w:highlight w:val="none"/>
          <w:lang w:val="zh-CN" w:eastAsia="zh-CN" w:bidi="ar-SA"/>
        </w:rPr>
        <w:t>全部配件，</w:t>
      </w:r>
      <w:r>
        <w:rPr>
          <w:rFonts w:hint="eastAsia" w:asciiTheme="minorEastAsia" w:hAnsiTheme="minorEastAsia" w:eastAsiaTheme="minorEastAsia" w:cstheme="minorEastAsia"/>
          <w:b/>
          <w:bCs/>
          <w:spacing w:val="-4"/>
          <w:kern w:val="2"/>
          <w:sz w:val="24"/>
          <w:szCs w:val="24"/>
          <w:highlight w:val="none"/>
          <w:lang w:val="en-US" w:eastAsia="zh-CN" w:bidi="ar-SA"/>
        </w:rPr>
        <w:t>软件终身免费升级）</w:t>
      </w:r>
      <w:r>
        <w:rPr>
          <w:rFonts w:hint="eastAsia" w:asciiTheme="minorEastAsia" w:hAnsiTheme="minorEastAsia" w:cstheme="minorEastAsia"/>
          <w:b/>
          <w:bCs/>
          <w:spacing w:val="-4"/>
          <w:kern w:val="2"/>
          <w:sz w:val="24"/>
          <w:szCs w:val="24"/>
          <w:highlight w:val="none"/>
          <w:lang w:val="en-US" w:eastAsia="zh-CN" w:bidi="ar-SA"/>
        </w:rPr>
        <w:t>。</w:t>
      </w:r>
    </w:p>
    <w:p w14:paraId="25E43AA6">
      <w:pPr>
        <w:keepNext w:val="0"/>
        <w:keepLines w:val="0"/>
        <w:pageBreakBefore w:val="0"/>
        <w:widowControl w:val="0"/>
        <w:kinsoku/>
        <w:wordWrap/>
        <w:overflowPunct/>
        <w:topLinePunct w:val="0"/>
        <w:autoSpaceDE/>
        <w:autoSpaceDN/>
        <w:bidi w:val="0"/>
        <w:adjustRightInd/>
        <w:snapToGrid/>
        <w:spacing w:line="440" w:lineRule="exact"/>
        <w:ind w:left="0" w:leftChars="0" w:firstLine="466" w:firstLineChars="200"/>
        <w:jc w:val="both"/>
        <w:textAlignment w:val="auto"/>
        <w:outlineLvl w:val="0"/>
        <w:rPr>
          <w:rFonts w:hint="default" w:asciiTheme="minorEastAsia" w:hAnsiTheme="minorEastAsia" w:eastAsiaTheme="minorEastAsia" w:cstheme="minorEastAsia"/>
          <w:b/>
          <w:bCs/>
          <w:spacing w:val="-4"/>
          <w:kern w:val="2"/>
          <w:sz w:val="24"/>
          <w:szCs w:val="24"/>
          <w:highlight w:val="none"/>
          <w:lang w:val="en-US" w:eastAsia="zh-CN" w:bidi="ar-SA"/>
        </w:rPr>
      </w:pPr>
      <w:r>
        <w:rPr>
          <w:rFonts w:hint="eastAsia" w:asciiTheme="minorEastAsia" w:hAnsiTheme="minorEastAsia" w:eastAsiaTheme="minorEastAsia" w:cstheme="minorEastAsia"/>
          <w:b/>
          <w:bCs/>
          <w:spacing w:val="-4"/>
          <w:kern w:val="2"/>
          <w:sz w:val="24"/>
          <w:szCs w:val="24"/>
          <w:highlight w:val="none"/>
          <w:lang w:val="en-US" w:eastAsia="zh-CN" w:bidi="ar-SA"/>
        </w:rPr>
        <w:t>10、</w:t>
      </w:r>
      <w:r>
        <w:rPr>
          <w:rFonts w:hint="eastAsia" w:asciiTheme="minorEastAsia" w:hAnsiTheme="minorEastAsia" w:eastAsiaTheme="minorEastAsia" w:cstheme="minorEastAsia"/>
          <w:b/>
          <w:bCs/>
          <w:spacing w:val="-4"/>
          <w:kern w:val="2"/>
          <w:sz w:val="24"/>
          <w:szCs w:val="24"/>
          <w:highlight w:val="none"/>
          <w:lang w:val="zh-CN" w:eastAsia="zh-CN" w:bidi="ar-SA"/>
        </w:rPr>
        <w:t>付款方式：自项目验收合格后30</w:t>
      </w:r>
      <w:r>
        <w:rPr>
          <w:rFonts w:hint="eastAsia" w:asciiTheme="minorEastAsia" w:hAnsiTheme="minorEastAsia" w:cstheme="minorEastAsia"/>
          <w:b/>
          <w:bCs/>
          <w:spacing w:val="-4"/>
          <w:kern w:val="2"/>
          <w:sz w:val="24"/>
          <w:szCs w:val="24"/>
          <w:highlight w:val="none"/>
          <w:lang w:val="en-US" w:eastAsia="zh-CN" w:bidi="ar-SA"/>
        </w:rPr>
        <w:t>个工作</w:t>
      </w:r>
      <w:r>
        <w:rPr>
          <w:rFonts w:hint="eastAsia" w:asciiTheme="minorEastAsia" w:hAnsiTheme="minorEastAsia" w:eastAsiaTheme="minorEastAsia" w:cstheme="minorEastAsia"/>
          <w:b/>
          <w:bCs/>
          <w:spacing w:val="-4"/>
          <w:kern w:val="2"/>
          <w:sz w:val="24"/>
          <w:szCs w:val="24"/>
          <w:highlight w:val="none"/>
          <w:lang w:val="zh-CN" w:eastAsia="zh-CN" w:bidi="ar-SA"/>
        </w:rPr>
        <w:t>日内支付合同金额的</w:t>
      </w:r>
      <w:r>
        <w:rPr>
          <w:rFonts w:hint="eastAsia" w:asciiTheme="minorEastAsia" w:hAnsiTheme="minorEastAsia" w:cstheme="minorEastAsia"/>
          <w:b/>
          <w:bCs/>
          <w:spacing w:val="-4"/>
          <w:kern w:val="2"/>
          <w:sz w:val="24"/>
          <w:szCs w:val="24"/>
          <w:highlight w:val="none"/>
          <w:lang w:val="en-US" w:eastAsia="zh-CN" w:bidi="ar-SA"/>
        </w:rPr>
        <w:t>10</w:t>
      </w:r>
      <w:r>
        <w:rPr>
          <w:rFonts w:hint="eastAsia" w:asciiTheme="minorEastAsia" w:hAnsiTheme="minorEastAsia" w:eastAsiaTheme="minorEastAsia" w:cstheme="minorEastAsia"/>
          <w:b/>
          <w:bCs/>
          <w:spacing w:val="-4"/>
          <w:kern w:val="2"/>
          <w:sz w:val="24"/>
          <w:szCs w:val="24"/>
          <w:highlight w:val="none"/>
          <w:lang w:val="zh-CN" w:eastAsia="zh-CN" w:bidi="ar-SA"/>
        </w:rPr>
        <w:t>0%</w:t>
      </w:r>
      <w:r>
        <w:rPr>
          <w:rFonts w:hint="eastAsia" w:asciiTheme="minorEastAsia" w:hAnsiTheme="minorEastAsia" w:cstheme="minorEastAsia"/>
          <w:b/>
          <w:bCs/>
          <w:spacing w:val="-4"/>
          <w:kern w:val="2"/>
          <w:sz w:val="24"/>
          <w:szCs w:val="24"/>
          <w:highlight w:val="none"/>
          <w:lang w:val="zh-CN" w:eastAsia="zh-CN" w:bidi="ar-SA"/>
        </w:rPr>
        <w:t>。</w:t>
      </w:r>
    </w:p>
    <w:p w14:paraId="65F171B2">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zh-CN"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11、</w:t>
      </w:r>
      <w:r>
        <w:rPr>
          <w:rFonts w:hint="eastAsia" w:asciiTheme="minorEastAsia" w:hAnsiTheme="minorEastAsia" w:eastAsiaTheme="minorEastAsia" w:cstheme="minorEastAsia"/>
          <w:b w:val="0"/>
          <w:bCs w:val="0"/>
          <w:spacing w:val="-4"/>
          <w:kern w:val="2"/>
          <w:sz w:val="24"/>
          <w:szCs w:val="24"/>
          <w:highlight w:val="none"/>
          <w:lang w:val="zh-CN" w:eastAsia="zh-CN" w:bidi="ar-SA"/>
        </w:rPr>
        <w:t>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203E7DAD">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zh-CN"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12</w:t>
      </w:r>
      <w:r>
        <w:rPr>
          <w:rFonts w:hint="eastAsia" w:asciiTheme="minorEastAsia" w:hAnsiTheme="minorEastAsia" w:eastAsiaTheme="minorEastAsia" w:cstheme="minorEastAsia"/>
          <w:b w:val="0"/>
          <w:bCs w:val="0"/>
          <w:spacing w:val="-4"/>
          <w:kern w:val="2"/>
          <w:sz w:val="24"/>
          <w:szCs w:val="24"/>
          <w:highlight w:val="none"/>
          <w:lang w:val="zh-CN" w:eastAsia="zh-CN" w:bidi="ar-SA"/>
        </w:rPr>
        <w:t>.所有收费功能仅提供技术通道，所有收费流程、价格标准、票据纳入医院统一财务系统管理，供应商不得私自收取患者费用；线上收费功能启用前，采购人完成物价备案，</w:t>
      </w:r>
      <w:r>
        <w:rPr>
          <w:rFonts w:hint="eastAsia" w:asciiTheme="minorEastAsia" w:hAnsiTheme="minorEastAsia" w:eastAsiaTheme="minorEastAsia" w:cstheme="minorEastAsia"/>
          <w:b w:val="0"/>
          <w:bCs w:val="0"/>
          <w:spacing w:val="-4"/>
          <w:kern w:val="2"/>
          <w:sz w:val="24"/>
          <w:szCs w:val="24"/>
          <w:highlight w:val="none"/>
          <w:lang w:val="en-US" w:eastAsia="zh-CN" w:bidi="ar-SA"/>
        </w:rPr>
        <w:t>供应商</w:t>
      </w:r>
      <w:r>
        <w:rPr>
          <w:rFonts w:hint="eastAsia" w:asciiTheme="minorEastAsia" w:hAnsiTheme="minorEastAsia" w:eastAsiaTheme="minorEastAsia" w:cstheme="minorEastAsia"/>
          <w:b w:val="0"/>
          <w:bCs w:val="0"/>
          <w:spacing w:val="-4"/>
          <w:kern w:val="2"/>
          <w:sz w:val="24"/>
          <w:szCs w:val="24"/>
          <w:highlight w:val="none"/>
          <w:lang w:val="zh-CN" w:eastAsia="zh-CN" w:bidi="ar-SA"/>
        </w:rPr>
        <w:t>配合提供备案所需技术材料，因私自收费产生的物价处罚、审计问题全部由</w:t>
      </w:r>
      <w:r>
        <w:rPr>
          <w:rFonts w:hint="eastAsia" w:asciiTheme="minorEastAsia" w:hAnsiTheme="minorEastAsia" w:cstheme="minorEastAsia"/>
          <w:b w:val="0"/>
          <w:bCs w:val="0"/>
          <w:spacing w:val="-4"/>
          <w:kern w:val="2"/>
          <w:sz w:val="24"/>
          <w:szCs w:val="24"/>
          <w:highlight w:val="none"/>
          <w:lang w:val="zh-CN" w:eastAsia="zh-CN" w:bidi="ar-SA"/>
        </w:rPr>
        <w:t>供应商</w:t>
      </w:r>
      <w:r>
        <w:rPr>
          <w:rFonts w:hint="eastAsia" w:asciiTheme="minorEastAsia" w:hAnsiTheme="minorEastAsia" w:eastAsiaTheme="minorEastAsia" w:cstheme="minorEastAsia"/>
          <w:b w:val="0"/>
          <w:bCs w:val="0"/>
          <w:spacing w:val="-4"/>
          <w:kern w:val="2"/>
          <w:sz w:val="24"/>
          <w:szCs w:val="24"/>
          <w:highlight w:val="none"/>
          <w:lang w:val="zh-CN" w:eastAsia="zh-CN" w:bidi="ar-SA"/>
        </w:rPr>
        <w:t>承担。</w:t>
      </w:r>
    </w:p>
    <w:p w14:paraId="4526AADC">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zh-CN"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11</w:t>
      </w:r>
      <w:r>
        <w:rPr>
          <w:rFonts w:hint="eastAsia" w:asciiTheme="minorEastAsia" w:hAnsiTheme="minorEastAsia" w:eastAsiaTheme="minorEastAsia" w:cstheme="minorEastAsia"/>
          <w:b w:val="0"/>
          <w:bCs w:val="0"/>
          <w:spacing w:val="-4"/>
          <w:kern w:val="2"/>
          <w:sz w:val="24"/>
          <w:szCs w:val="24"/>
          <w:highlight w:val="none"/>
          <w:lang w:val="zh-CN" w:eastAsia="zh-CN" w:bidi="ar-SA"/>
        </w:rPr>
        <w:t>、如货物属于国家强制性目录范围内的，则必须符合国家相关强制性要求。</w:t>
      </w:r>
    </w:p>
    <w:p w14:paraId="6AD68D5A">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zh-CN"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12</w:t>
      </w:r>
      <w:r>
        <w:rPr>
          <w:rFonts w:hint="eastAsia" w:asciiTheme="minorEastAsia" w:hAnsiTheme="minorEastAsia" w:eastAsiaTheme="minorEastAsia" w:cstheme="minorEastAsia"/>
          <w:b w:val="0"/>
          <w:bCs w:val="0"/>
          <w:spacing w:val="-4"/>
          <w:kern w:val="2"/>
          <w:sz w:val="24"/>
          <w:szCs w:val="24"/>
          <w:highlight w:val="none"/>
          <w:lang w:val="zh-CN" w:eastAsia="zh-CN" w:bidi="ar-SA"/>
        </w:rPr>
        <w:t>、验收：</w:t>
      </w:r>
    </w:p>
    <w:p w14:paraId="05E364B9">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zh-CN"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12</w:t>
      </w:r>
      <w:r>
        <w:rPr>
          <w:rFonts w:hint="eastAsia" w:asciiTheme="minorEastAsia" w:hAnsiTheme="minorEastAsia" w:eastAsiaTheme="minorEastAsia" w:cstheme="minorEastAsia"/>
          <w:b w:val="0"/>
          <w:bCs w:val="0"/>
          <w:spacing w:val="-4"/>
          <w:kern w:val="2"/>
          <w:sz w:val="24"/>
          <w:szCs w:val="24"/>
          <w:highlight w:val="none"/>
          <w:lang w:val="zh-CN" w:eastAsia="zh-CN" w:bidi="ar-SA"/>
        </w:rPr>
        <w:t>.1采购人和相关部门按照</w:t>
      </w:r>
      <w:r>
        <w:rPr>
          <w:rFonts w:hint="eastAsia" w:asciiTheme="minorEastAsia" w:hAnsiTheme="minorEastAsia" w:cstheme="minorEastAsia"/>
          <w:b w:val="0"/>
          <w:bCs w:val="0"/>
          <w:spacing w:val="-4"/>
          <w:kern w:val="2"/>
          <w:sz w:val="24"/>
          <w:szCs w:val="24"/>
          <w:highlight w:val="none"/>
          <w:lang w:val="en-US" w:eastAsia="zh-CN" w:bidi="ar-SA"/>
        </w:rPr>
        <w:t>磋商</w:t>
      </w:r>
      <w:r>
        <w:rPr>
          <w:rFonts w:hint="eastAsia" w:asciiTheme="minorEastAsia" w:hAnsiTheme="minorEastAsia" w:eastAsiaTheme="minorEastAsia" w:cstheme="minorEastAsia"/>
          <w:b w:val="0"/>
          <w:bCs w:val="0"/>
          <w:spacing w:val="-4"/>
          <w:kern w:val="2"/>
          <w:sz w:val="24"/>
          <w:szCs w:val="24"/>
          <w:highlight w:val="none"/>
          <w:lang w:val="zh-CN" w:eastAsia="zh-CN" w:bidi="ar-SA"/>
        </w:rPr>
        <w:t>文件和响应文件进行验收。</w:t>
      </w:r>
      <w:r>
        <w:rPr>
          <w:rFonts w:hint="eastAsia" w:asciiTheme="minorEastAsia" w:hAnsiTheme="minorEastAsia" w:cstheme="minorEastAsia"/>
          <w:b w:val="0"/>
          <w:bCs w:val="0"/>
          <w:spacing w:val="-4"/>
          <w:kern w:val="2"/>
          <w:sz w:val="24"/>
          <w:szCs w:val="24"/>
          <w:highlight w:val="none"/>
          <w:lang w:val="zh-CN" w:eastAsia="zh-CN" w:bidi="ar-SA"/>
        </w:rPr>
        <w:t>磋商</w:t>
      </w:r>
      <w:r>
        <w:rPr>
          <w:rFonts w:hint="eastAsia" w:asciiTheme="minorEastAsia" w:hAnsiTheme="minorEastAsia" w:eastAsiaTheme="minorEastAsia" w:cstheme="minorEastAsia"/>
          <w:b w:val="0"/>
          <w:bCs w:val="0"/>
          <w:spacing w:val="-4"/>
          <w:kern w:val="2"/>
          <w:sz w:val="24"/>
          <w:szCs w:val="24"/>
          <w:highlight w:val="none"/>
          <w:lang w:val="zh-CN" w:eastAsia="zh-CN" w:bidi="ar-SA"/>
        </w:rPr>
        <w:t>文件没有规定和</w:t>
      </w:r>
      <w:r>
        <w:rPr>
          <w:rFonts w:hint="eastAsia" w:asciiTheme="minorEastAsia" w:hAnsiTheme="minorEastAsia" w:cstheme="minorEastAsia"/>
          <w:b w:val="0"/>
          <w:bCs w:val="0"/>
          <w:spacing w:val="-4"/>
          <w:kern w:val="2"/>
          <w:sz w:val="24"/>
          <w:szCs w:val="24"/>
          <w:highlight w:val="none"/>
          <w:lang w:val="zh-CN" w:eastAsia="zh-CN" w:bidi="ar-SA"/>
        </w:rPr>
        <w:t>磋商</w:t>
      </w:r>
      <w:r>
        <w:rPr>
          <w:rFonts w:hint="eastAsia" w:asciiTheme="minorEastAsia" w:hAnsiTheme="minorEastAsia" w:eastAsiaTheme="minorEastAsia" w:cstheme="minorEastAsia"/>
          <w:b w:val="0"/>
          <w:bCs w:val="0"/>
          <w:spacing w:val="-4"/>
          <w:kern w:val="2"/>
          <w:sz w:val="24"/>
          <w:szCs w:val="24"/>
          <w:highlight w:val="none"/>
          <w:lang w:val="zh-CN" w:eastAsia="zh-CN" w:bidi="ar-SA"/>
        </w:rPr>
        <w:t>响应文件没有相应承诺的，按照下列原则进行验收：有国家标准的按照国家标准验收，没有国家标准的按行业标准验收，无行业标准的按地方或企业标准验收，成交</w:t>
      </w:r>
      <w:r>
        <w:rPr>
          <w:rFonts w:hint="eastAsia" w:asciiTheme="minorEastAsia" w:hAnsiTheme="minorEastAsia" w:cstheme="minorEastAsia"/>
          <w:b w:val="0"/>
          <w:bCs w:val="0"/>
          <w:spacing w:val="-4"/>
          <w:kern w:val="2"/>
          <w:sz w:val="24"/>
          <w:szCs w:val="24"/>
          <w:highlight w:val="none"/>
          <w:lang w:val="zh-CN" w:eastAsia="zh-CN" w:bidi="ar-SA"/>
        </w:rPr>
        <w:t>供应商</w:t>
      </w:r>
      <w:r>
        <w:rPr>
          <w:rFonts w:hint="eastAsia" w:asciiTheme="minorEastAsia" w:hAnsiTheme="minorEastAsia" w:eastAsiaTheme="minorEastAsia" w:cstheme="minorEastAsia"/>
          <w:b w:val="0"/>
          <w:bCs w:val="0"/>
          <w:spacing w:val="-4"/>
          <w:kern w:val="2"/>
          <w:sz w:val="24"/>
          <w:szCs w:val="24"/>
          <w:highlight w:val="none"/>
          <w:lang w:val="zh-CN" w:eastAsia="zh-CN" w:bidi="ar-SA"/>
        </w:rPr>
        <w:t>予以配合。涉及需要由其他相关行业主管部门验收的项目，采购人须约请相关部门和专家参加项目验收。</w:t>
      </w:r>
    </w:p>
    <w:p w14:paraId="08B918FE">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zh-CN"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12</w:t>
      </w:r>
      <w:r>
        <w:rPr>
          <w:rFonts w:hint="eastAsia" w:asciiTheme="minorEastAsia" w:hAnsiTheme="minorEastAsia" w:eastAsiaTheme="minorEastAsia" w:cstheme="minorEastAsia"/>
          <w:b w:val="0"/>
          <w:bCs w:val="0"/>
          <w:spacing w:val="-4"/>
          <w:kern w:val="2"/>
          <w:sz w:val="24"/>
          <w:szCs w:val="24"/>
          <w:highlight w:val="none"/>
          <w:lang w:val="zh-CN" w:eastAsia="zh-CN" w:bidi="ar-SA"/>
        </w:rPr>
        <w:t>.2、采购人及相关行业主管部门对项目进行全面的验收，对验收中暴露出来的问题，成交</w:t>
      </w:r>
      <w:r>
        <w:rPr>
          <w:rFonts w:hint="eastAsia" w:asciiTheme="minorEastAsia" w:hAnsiTheme="minorEastAsia" w:cstheme="minorEastAsia"/>
          <w:b w:val="0"/>
          <w:bCs w:val="0"/>
          <w:spacing w:val="-4"/>
          <w:kern w:val="2"/>
          <w:sz w:val="24"/>
          <w:szCs w:val="24"/>
          <w:highlight w:val="none"/>
          <w:lang w:val="zh-CN" w:eastAsia="zh-CN" w:bidi="ar-SA"/>
        </w:rPr>
        <w:t>供应商</w:t>
      </w:r>
      <w:r>
        <w:rPr>
          <w:rFonts w:hint="eastAsia" w:asciiTheme="minorEastAsia" w:hAnsiTheme="minorEastAsia" w:eastAsiaTheme="minorEastAsia" w:cstheme="minorEastAsia"/>
          <w:b w:val="0"/>
          <w:bCs w:val="0"/>
          <w:spacing w:val="-4"/>
          <w:kern w:val="2"/>
          <w:sz w:val="24"/>
          <w:szCs w:val="24"/>
          <w:highlight w:val="none"/>
          <w:lang w:val="zh-CN" w:eastAsia="zh-CN" w:bidi="ar-SA"/>
        </w:rPr>
        <w:t>应及时进行整改，整改后仍达不到验收标准的，采购人有权取消成交</w:t>
      </w:r>
      <w:r>
        <w:rPr>
          <w:rFonts w:hint="eastAsia" w:asciiTheme="minorEastAsia" w:hAnsiTheme="minorEastAsia" w:cstheme="minorEastAsia"/>
          <w:b w:val="0"/>
          <w:bCs w:val="0"/>
          <w:spacing w:val="-4"/>
          <w:kern w:val="2"/>
          <w:sz w:val="24"/>
          <w:szCs w:val="24"/>
          <w:highlight w:val="none"/>
          <w:lang w:val="zh-CN" w:eastAsia="zh-CN" w:bidi="ar-SA"/>
        </w:rPr>
        <w:t>供应商</w:t>
      </w:r>
      <w:r>
        <w:rPr>
          <w:rFonts w:hint="eastAsia" w:asciiTheme="minorEastAsia" w:hAnsiTheme="minorEastAsia" w:eastAsiaTheme="minorEastAsia" w:cstheme="minorEastAsia"/>
          <w:b w:val="0"/>
          <w:bCs w:val="0"/>
          <w:spacing w:val="-4"/>
          <w:kern w:val="2"/>
          <w:sz w:val="24"/>
          <w:szCs w:val="24"/>
          <w:highlight w:val="none"/>
          <w:lang w:val="zh-CN" w:eastAsia="zh-CN" w:bidi="ar-SA"/>
        </w:rPr>
        <w:t>资格。</w:t>
      </w:r>
    </w:p>
    <w:p w14:paraId="436CAA9A">
      <w:pPr>
        <w:keepNext w:val="0"/>
        <w:keepLines w:val="0"/>
        <w:pageBreakBefore w:val="0"/>
        <w:widowControl w:val="0"/>
        <w:kinsoku/>
        <w:wordWrap/>
        <w:overflowPunct/>
        <w:topLinePunct w:val="0"/>
        <w:autoSpaceDE/>
        <w:autoSpaceDN/>
        <w:bidi w:val="0"/>
        <w:adjustRightInd/>
        <w:snapToGrid/>
        <w:spacing w:line="440" w:lineRule="exact"/>
        <w:ind w:left="0" w:leftChars="0" w:firstLine="466" w:firstLineChars="200"/>
        <w:jc w:val="both"/>
        <w:textAlignment w:val="auto"/>
        <w:outlineLvl w:val="0"/>
        <w:rPr>
          <w:rFonts w:hint="default" w:asciiTheme="minorEastAsia" w:hAnsiTheme="minorEastAsia" w:eastAsiaTheme="minorEastAsia" w:cstheme="minorEastAsia"/>
          <w:b/>
          <w:bCs/>
          <w:spacing w:val="-4"/>
          <w:kern w:val="2"/>
          <w:sz w:val="24"/>
          <w:szCs w:val="24"/>
          <w:highlight w:val="none"/>
          <w:lang w:val="en-US" w:eastAsia="zh-CN" w:bidi="ar-SA"/>
        </w:rPr>
      </w:pPr>
      <w:r>
        <w:rPr>
          <w:rFonts w:hint="eastAsia" w:asciiTheme="minorEastAsia" w:hAnsiTheme="minorEastAsia" w:eastAsiaTheme="minorEastAsia" w:cstheme="minorEastAsia"/>
          <w:b/>
          <w:bCs/>
          <w:spacing w:val="-4"/>
          <w:kern w:val="2"/>
          <w:sz w:val="24"/>
          <w:szCs w:val="24"/>
          <w:highlight w:val="none"/>
          <w:lang w:val="en-US" w:eastAsia="zh-CN" w:bidi="ar-SA"/>
        </w:rPr>
        <w:t>12.3需与医院现有系统接口对接，若不能对接产生的费用由成交供应商承担，</w:t>
      </w:r>
      <w:r>
        <w:rPr>
          <w:rFonts w:hint="eastAsia" w:asciiTheme="minorEastAsia" w:hAnsiTheme="minorEastAsia" w:cstheme="minorEastAsia"/>
          <w:b/>
          <w:bCs/>
          <w:spacing w:val="-4"/>
          <w:kern w:val="2"/>
          <w:sz w:val="24"/>
          <w:szCs w:val="24"/>
          <w:highlight w:val="none"/>
          <w:lang w:val="en-US" w:eastAsia="zh-CN" w:bidi="ar-SA"/>
        </w:rPr>
        <w:t>采购</w:t>
      </w:r>
      <w:r>
        <w:rPr>
          <w:rFonts w:hint="eastAsia" w:asciiTheme="minorEastAsia" w:hAnsiTheme="minorEastAsia" w:eastAsiaTheme="minorEastAsia" w:cstheme="minorEastAsia"/>
          <w:b/>
          <w:bCs/>
          <w:spacing w:val="-4"/>
          <w:kern w:val="2"/>
          <w:sz w:val="24"/>
          <w:szCs w:val="24"/>
          <w:highlight w:val="none"/>
          <w:lang w:val="en-US" w:eastAsia="zh-CN" w:bidi="ar-SA"/>
        </w:rPr>
        <w:t>人不再另外支付任何费用。</w:t>
      </w:r>
    </w:p>
    <w:p w14:paraId="65D5B87D">
      <w:pPr>
        <w:keepNext w:val="0"/>
        <w:keepLines w:val="0"/>
        <w:pageBreakBefore w:val="0"/>
        <w:widowControl w:val="0"/>
        <w:kinsoku/>
        <w:wordWrap/>
        <w:overflowPunct/>
        <w:topLinePunct w:val="0"/>
        <w:autoSpaceDE/>
        <w:autoSpaceDN/>
        <w:bidi w:val="0"/>
        <w:adjustRightInd/>
        <w:snapToGrid/>
        <w:spacing w:line="440" w:lineRule="exact"/>
        <w:ind w:left="0" w:leftChars="0" w:firstLine="464" w:firstLineChars="200"/>
        <w:jc w:val="both"/>
        <w:textAlignment w:val="auto"/>
        <w:outlineLvl w:val="0"/>
        <w:rPr>
          <w:rFonts w:hint="eastAsia" w:asciiTheme="minorEastAsia" w:hAnsiTheme="minorEastAsia" w:eastAsiaTheme="minorEastAsia" w:cstheme="minorEastAsia"/>
          <w:b w:val="0"/>
          <w:bCs w:val="0"/>
          <w:spacing w:val="-4"/>
          <w:kern w:val="2"/>
          <w:sz w:val="24"/>
          <w:szCs w:val="24"/>
          <w:highlight w:val="none"/>
          <w:lang w:val="en-US" w:eastAsia="zh-CN" w:bidi="ar-SA"/>
        </w:rPr>
      </w:pPr>
      <w:r>
        <w:rPr>
          <w:rFonts w:hint="eastAsia" w:asciiTheme="minorEastAsia" w:hAnsiTheme="minorEastAsia" w:eastAsiaTheme="minorEastAsia" w:cstheme="minorEastAsia"/>
          <w:b w:val="0"/>
          <w:bCs w:val="0"/>
          <w:spacing w:val="-4"/>
          <w:kern w:val="2"/>
          <w:sz w:val="24"/>
          <w:szCs w:val="24"/>
          <w:highlight w:val="none"/>
          <w:lang w:val="en-US" w:eastAsia="zh-CN" w:bidi="ar-SA"/>
        </w:rPr>
        <w:t>13、</w:t>
      </w:r>
      <w:r>
        <w:rPr>
          <w:rFonts w:hint="eastAsia" w:asciiTheme="minorEastAsia" w:hAnsiTheme="minorEastAsia" w:eastAsiaTheme="minorEastAsia" w:cstheme="minorEastAsia"/>
          <w:b w:val="0"/>
          <w:bCs w:val="0"/>
          <w:spacing w:val="-4"/>
          <w:kern w:val="2"/>
          <w:sz w:val="24"/>
          <w:szCs w:val="24"/>
          <w:highlight w:val="none"/>
          <w:lang w:val="zh-CN" w:eastAsia="zh-CN" w:bidi="ar-SA"/>
        </w:rPr>
        <w:t>本项目总</w:t>
      </w:r>
      <w:r>
        <w:rPr>
          <w:rFonts w:hint="eastAsia" w:asciiTheme="minorEastAsia" w:hAnsiTheme="minorEastAsia" w:cstheme="minorEastAsia"/>
          <w:b w:val="0"/>
          <w:bCs w:val="0"/>
          <w:spacing w:val="-4"/>
          <w:kern w:val="2"/>
          <w:sz w:val="24"/>
          <w:szCs w:val="24"/>
          <w:highlight w:val="none"/>
          <w:lang w:val="en-US" w:eastAsia="zh-CN" w:bidi="ar-SA"/>
        </w:rPr>
        <w:t>报</w:t>
      </w:r>
      <w:r>
        <w:rPr>
          <w:rFonts w:hint="eastAsia" w:asciiTheme="minorEastAsia" w:hAnsiTheme="minorEastAsia" w:eastAsiaTheme="minorEastAsia" w:cstheme="minorEastAsia"/>
          <w:b w:val="0"/>
          <w:bCs w:val="0"/>
          <w:spacing w:val="-4"/>
          <w:kern w:val="2"/>
          <w:sz w:val="24"/>
          <w:szCs w:val="24"/>
          <w:highlight w:val="none"/>
          <w:lang w:val="zh-CN" w:eastAsia="zh-CN" w:bidi="ar-SA"/>
        </w:rPr>
        <w:t>标价包含了交付使用前的全部费用及所有价内价外税金及合理利润等，</w:t>
      </w:r>
      <w:r>
        <w:rPr>
          <w:rFonts w:hint="eastAsia" w:asciiTheme="minorEastAsia" w:hAnsiTheme="minorEastAsia" w:eastAsiaTheme="minorEastAsia" w:cstheme="minorEastAsia"/>
          <w:b w:val="0"/>
          <w:bCs w:val="0"/>
          <w:spacing w:val="-4"/>
          <w:kern w:val="2"/>
          <w:sz w:val="24"/>
          <w:szCs w:val="24"/>
          <w:highlight w:val="none"/>
          <w:lang w:val="en-US" w:eastAsia="zh-CN" w:bidi="ar-SA"/>
        </w:rPr>
        <w:t>不再产生任何二次费用。</w:t>
      </w:r>
    </w:p>
    <w:p w14:paraId="33A705A4">
      <w:pPr>
        <w:keepNext w:val="0"/>
        <w:keepLines w:val="0"/>
        <w:pageBreakBefore w:val="0"/>
        <w:widowControl w:val="0"/>
        <w:tabs>
          <w:tab w:val="left" w:pos="7020"/>
        </w:tabs>
        <w:kinsoku/>
        <w:wordWrap/>
        <w:overflowPunct/>
        <w:topLinePunct w:val="0"/>
        <w:autoSpaceDE/>
        <w:autoSpaceDN/>
        <w:bidi w:val="0"/>
        <w:adjustRightInd/>
        <w:snapToGrid/>
        <w:spacing w:line="500" w:lineRule="exact"/>
        <w:jc w:val="both"/>
        <w:textAlignment w:val="auto"/>
        <w:rPr>
          <w:rFonts w:hint="default" w:ascii="仿宋_GB2312" w:hAnsi="仿宋_GB2312" w:eastAsia="仿宋_GB2312" w:cs="仿宋_GB2312"/>
          <w:sz w:val="28"/>
          <w:szCs w:val="28"/>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E6D1C34-767E-4341-8984-4F199B220A3A}"/>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ED80C06E-39AB-401D-BBF8-F315BD54E062}"/>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C9809"/>
    <w:multiLevelType w:val="singleLevel"/>
    <w:tmpl w:val="BB4C9809"/>
    <w:lvl w:ilvl="0" w:tentative="0">
      <w:start w:val="5"/>
      <w:numFmt w:val="decimal"/>
      <w:suff w:val="nothing"/>
      <w:lvlText w:val="%1、"/>
      <w:lvlJc w:val="left"/>
    </w:lvl>
  </w:abstractNum>
  <w:abstractNum w:abstractNumId="1">
    <w:nsid w:val="19DAF24E"/>
    <w:multiLevelType w:val="singleLevel"/>
    <w:tmpl w:val="19DAF24E"/>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64BD"/>
    <w:rsid w:val="075D1E8C"/>
    <w:rsid w:val="0C831895"/>
    <w:rsid w:val="0D4234FE"/>
    <w:rsid w:val="0EAD100E"/>
    <w:rsid w:val="157D516D"/>
    <w:rsid w:val="17875A15"/>
    <w:rsid w:val="19ED1940"/>
    <w:rsid w:val="1B096E5A"/>
    <w:rsid w:val="20DB1848"/>
    <w:rsid w:val="22BC150E"/>
    <w:rsid w:val="28597DF9"/>
    <w:rsid w:val="2A471FEB"/>
    <w:rsid w:val="2FF93AE8"/>
    <w:rsid w:val="33084527"/>
    <w:rsid w:val="340A6274"/>
    <w:rsid w:val="3FC945CA"/>
    <w:rsid w:val="421A00E8"/>
    <w:rsid w:val="4CC7027B"/>
    <w:rsid w:val="4E3F1528"/>
    <w:rsid w:val="510026A9"/>
    <w:rsid w:val="51951749"/>
    <w:rsid w:val="53ED5526"/>
    <w:rsid w:val="55471060"/>
    <w:rsid w:val="55B61960"/>
    <w:rsid w:val="66F66060"/>
    <w:rsid w:val="68701E42"/>
    <w:rsid w:val="6B297183"/>
    <w:rsid w:val="6BB97277"/>
    <w:rsid w:val="70661AF5"/>
    <w:rsid w:val="72667A1A"/>
    <w:rsid w:val="78381BD3"/>
    <w:rsid w:val="79A20C2B"/>
    <w:rsid w:val="79CB70E8"/>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4"/>
      <w:szCs w:val="20"/>
    </w:rPr>
  </w:style>
  <w:style w:type="paragraph" w:styleId="3">
    <w:name w:val="annotation text"/>
    <w:basedOn w:val="1"/>
    <w:qFormat/>
    <w:uiPriority w:val="0"/>
    <w:pPr>
      <w:jc w:val="left"/>
    </w:pPr>
  </w:style>
  <w:style w:type="paragraph" w:styleId="4">
    <w:name w:val="Body Text"/>
    <w:basedOn w:val="1"/>
    <w:next w:val="1"/>
    <w:qFormat/>
    <w:uiPriority w:val="0"/>
    <w:pPr>
      <w:jc w:val="left"/>
    </w:pPr>
    <w:rPr>
      <w:rFonts w:ascii="Arial" w:hAnsi="Arial" w:eastAsia="黑体" w:cs="黑体"/>
      <w:b/>
      <w:sz w:val="32"/>
      <w:szCs w:val="22"/>
    </w:rPr>
  </w:style>
  <w:style w:type="paragraph" w:styleId="5">
    <w:name w:val="index 4"/>
    <w:basedOn w:val="1"/>
    <w:next w:val="1"/>
    <w:semiHidden/>
    <w:qFormat/>
    <w:uiPriority w:val="0"/>
    <w:pPr>
      <w:ind w:left="1260"/>
    </w:pPr>
  </w:style>
  <w:style w:type="paragraph" w:styleId="6">
    <w:name w:val="Body Text Indent 2"/>
    <w:basedOn w:val="1"/>
    <w:qFormat/>
    <w:uiPriority w:val="0"/>
    <w:pPr>
      <w:spacing w:after="120" w:line="480" w:lineRule="auto"/>
      <w:ind w:left="420" w:leftChars="200"/>
    </w:pPr>
    <w:rPr>
      <w:rFonts w:ascii="宋体"/>
      <w:sz w:val="32"/>
      <w:szCs w:val="22"/>
    </w:rPr>
  </w:style>
  <w:style w:type="paragraph" w:styleId="7">
    <w:name w:val="footer"/>
    <w:basedOn w:val="1"/>
    <w:qFormat/>
    <w:uiPriority w:val="0"/>
    <w:pPr>
      <w:tabs>
        <w:tab w:val="center" w:pos="4153"/>
        <w:tab w:val="right" w:pos="8306"/>
      </w:tabs>
      <w:snapToGrid w:val="0"/>
      <w:jc w:val="left"/>
    </w:pPr>
    <w:rPr>
      <w:sz w:val="18"/>
      <w:lang w:bidi="he-IL"/>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link w:val="16"/>
    <w:qFormat/>
    <w:uiPriority w:val="0"/>
    <w:pPr>
      <w:spacing w:before="240" w:after="60"/>
      <w:outlineLvl w:val="0"/>
    </w:pPr>
    <w:rPr>
      <w:rFonts w:ascii="Cambria" w:hAnsi="Cambria"/>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标题 Char"/>
    <w:link w:val="10"/>
    <w:qFormat/>
    <w:uiPriority w:val="0"/>
    <w:rPr>
      <w:rFonts w:ascii="Cambria" w:hAnsi="Cambria"/>
      <w:b/>
      <w:bCs/>
      <w:sz w:val="32"/>
      <w:szCs w:val="32"/>
    </w:rPr>
  </w:style>
  <w:style w:type="character" w:customStyle="1" w:styleId="17">
    <w:name w:val="font01"/>
    <w:basedOn w:val="13"/>
    <w:qFormat/>
    <w:uiPriority w:val="0"/>
    <w:rPr>
      <w:rFonts w:hint="eastAsia" w:ascii="宋体" w:hAnsi="宋体" w:eastAsia="宋体" w:cs="宋体"/>
      <w:color w:val="000000"/>
      <w:sz w:val="20"/>
      <w:szCs w:val="20"/>
      <w:u w:val="none"/>
    </w:rPr>
  </w:style>
  <w:style w:type="character" w:customStyle="1" w:styleId="18">
    <w:name w:val="font21"/>
    <w:basedOn w:val="13"/>
    <w:qFormat/>
    <w:uiPriority w:val="0"/>
    <w:rPr>
      <w:rFonts w:ascii="Arial" w:hAnsi="Arial" w:cs="Arial"/>
      <w:color w:val="000000"/>
      <w:sz w:val="20"/>
      <w:szCs w:val="20"/>
      <w:u w:val="none"/>
    </w:rPr>
  </w:style>
  <w:style w:type="character" w:customStyle="1" w:styleId="19">
    <w:name w:val="font11"/>
    <w:basedOn w:val="13"/>
    <w:qFormat/>
    <w:uiPriority w:val="0"/>
    <w:rPr>
      <w:rFonts w:hint="eastAsia" w:ascii="宋体" w:hAnsi="宋体" w:eastAsia="宋体" w:cs="宋体"/>
      <w:color w:val="000000"/>
      <w:sz w:val="18"/>
      <w:szCs w:val="18"/>
      <w:u w:val="none"/>
    </w:rPr>
  </w:style>
  <w:style w:type="character" w:customStyle="1" w:styleId="20">
    <w:name w:val="font31"/>
    <w:basedOn w:val="13"/>
    <w:qFormat/>
    <w:uiPriority w:val="0"/>
    <w:rPr>
      <w:rFonts w:hint="default" w:ascii="Arial" w:hAnsi="Arial" w:cs="Arial"/>
      <w:color w:val="000000"/>
      <w:sz w:val="18"/>
      <w:szCs w:val="18"/>
      <w:u w:val="none"/>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
    <w:name w:val="Table Text"/>
    <w:basedOn w:val="23"/>
    <w:semiHidden/>
    <w:qFormat/>
    <w:uiPriority w:val="0"/>
    <w:rPr>
      <w:rFonts w:ascii="宋体" w:hAnsi="宋体" w:eastAsia="宋体" w:cs="宋体"/>
      <w:sz w:val="28"/>
      <w:szCs w:val="28"/>
      <w:lang w:val="en-US" w:eastAsia="en-US" w:bidi="ar-SA"/>
    </w:rPr>
  </w:style>
  <w:style w:type="paragraph" w:customStyle="1" w:styleId="23">
    <w:name w:val="正文 New"/>
    <w:qFormat/>
    <w:uiPriority w:val="0"/>
    <w:pPr>
      <w:widowControl w:val="0"/>
      <w:autoSpaceDE w:val="0"/>
      <w:autoSpaceDN w:val="0"/>
      <w:adjustRightInd w:val="0"/>
      <w:spacing w:line="360" w:lineRule="auto"/>
    </w:pPr>
    <w:rPr>
      <w:rFonts w:ascii="Times New Roman" w:hAnsi="Times New Roman" w:eastAsia="宋体" w:cs="Times New Roman"/>
      <w:snapToGrid w:val="0"/>
      <w:szCs w:val="21"/>
      <w:lang w:val="en-US" w:eastAsia="zh-CN" w:bidi="ar-SA"/>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缺省文本"/>
    <w:basedOn w:val="1"/>
    <w:qFormat/>
    <w:uiPriority w:val="0"/>
    <w:pPr>
      <w:autoSpaceDE w:val="0"/>
      <w:autoSpaceDN w:val="0"/>
      <w:adjustRightInd w:val="0"/>
      <w:jc w:val="left"/>
    </w:pPr>
    <w:rPr>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2791</Words>
  <Characters>2852</Characters>
  <Lines>0</Lines>
  <Paragraphs>0</Paragraphs>
  <TotalTime>10</TotalTime>
  <ScaleCrop>false</ScaleCrop>
  <LinksUpToDate>false</LinksUpToDate>
  <CharactersWithSpaces>2879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2026-08-04T09:05:42Z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B202F8966C174EFFADF4F313E7FFBB53</vt:lpwstr>
  </property>
  <property fmtid="{D5CDD505-2E9C-101B-9397-08002B2CF9AE}" pid="4" name="KSOTemplateDocerSaveRecord">
    <vt:lpwstr>eyJoZGlkIjoiMTU1MGI0MTgwMTU0MzQ0NjdlZGQyYmM0MTBjZjEwZjYiLCJ1c2VySWQiOiI1NTUzMTQ2MDYifQ==</vt:lpwstr>
  </property>
</Properties>
</file>