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8344A">
      <w:pPr>
        <w:pStyle w:val="6"/>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仿宋_GB2312" w:hAnsi="仿宋_GB2312" w:eastAsia="仿宋_GB2312" w:cs="仿宋_GB2312"/>
          <w:b/>
          <w:bCs/>
          <w:kern w:val="2"/>
          <w:sz w:val="40"/>
          <w:szCs w:val="40"/>
          <w:lang w:val="en-US" w:eastAsia="zh-CN" w:bidi="ar-SA"/>
        </w:rPr>
      </w:pPr>
      <w:r>
        <w:rPr>
          <w:rFonts w:hint="eastAsia" w:ascii="仿宋_GB2312" w:hAnsi="仿宋_GB2312" w:eastAsia="仿宋_GB2312" w:cs="仿宋_GB2312"/>
          <w:b/>
          <w:bCs/>
          <w:kern w:val="2"/>
          <w:sz w:val="40"/>
          <w:szCs w:val="40"/>
          <w:lang w:val="en-US" w:eastAsia="zh-CN" w:bidi="ar-SA"/>
        </w:rPr>
        <w:t>马鞍山市中医院防火门及附属设施采购</w:t>
      </w:r>
    </w:p>
    <w:p w14:paraId="54008DFC">
      <w:pPr>
        <w:pStyle w:val="6"/>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仿宋_GB2312" w:hAnsi="仿宋_GB2312" w:eastAsia="仿宋_GB2312" w:cs="仿宋_GB2312"/>
          <w:b/>
          <w:bCs/>
          <w:kern w:val="2"/>
          <w:sz w:val="40"/>
          <w:szCs w:val="40"/>
          <w:lang w:val="en-US" w:eastAsia="zh-CN" w:bidi="ar-SA"/>
        </w:rPr>
      </w:pPr>
      <w:r>
        <w:rPr>
          <w:rFonts w:hint="eastAsia" w:ascii="仿宋_GB2312" w:hAnsi="仿宋_GB2312" w:eastAsia="仿宋_GB2312" w:cs="仿宋_GB2312"/>
          <w:b/>
          <w:bCs/>
          <w:kern w:val="2"/>
          <w:sz w:val="40"/>
          <w:szCs w:val="40"/>
          <w:lang w:val="en-US" w:eastAsia="zh-CN" w:bidi="ar-SA"/>
        </w:rPr>
        <w:t>内容及总体要求</w:t>
      </w:r>
    </w:p>
    <w:p w14:paraId="5673ACC2">
      <w:pPr>
        <w:keepNext/>
        <w:keepLines/>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p>
    <w:p w14:paraId="40467D0B">
      <w:pPr>
        <w:keepNext/>
        <w:keepLines/>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0668B171">
      <w:pPr>
        <w:keepNext/>
        <w:keepLines/>
        <w:pageBreakBefore w:val="0"/>
        <w:widowControl w:val="0"/>
        <w:numPr>
          <w:ilvl w:val="0"/>
          <w:numId w:val="0"/>
        </w:numPr>
        <w:tabs>
          <w:tab w:val="left" w:pos="7020"/>
        </w:tabs>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b w:val="0"/>
          <w:bCs w:val="0"/>
          <w:i w:val="0"/>
          <w:strike w:val="0"/>
          <w:color w:val="auto"/>
          <w:kern w:val="0"/>
          <w:sz w:val="32"/>
          <w:szCs w:val="32"/>
          <w:highlight w:val="none"/>
          <w:u w:val="none"/>
          <w:lang w:val="en-US" w:eastAsia="zh-CN" w:bidi="ar-SA"/>
        </w:rPr>
      </w:pPr>
      <w:r>
        <w:rPr>
          <w:rFonts w:hint="eastAsia" w:ascii="仿宋_GB2312" w:hAnsi="仿宋_GB2312" w:eastAsia="仿宋_GB2312" w:cs="仿宋_GB2312"/>
          <w:b w:val="0"/>
          <w:bCs w:val="0"/>
          <w:i w:val="0"/>
          <w:strike w:val="0"/>
          <w:color w:val="auto"/>
          <w:kern w:val="0"/>
          <w:sz w:val="32"/>
          <w:szCs w:val="32"/>
          <w:highlight w:val="none"/>
          <w:u w:val="none"/>
          <w:lang w:val="en-US" w:eastAsia="zh-CN" w:bidi="ar-SA"/>
        </w:rPr>
        <w:t>项目预算（人民币）： 85000 元；</w:t>
      </w:r>
    </w:p>
    <w:p w14:paraId="0CD694F4">
      <w:pPr>
        <w:keepNext/>
        <w:keepLines/>
        <w:pageBreakBefore w:val="0"/>
        <w:widowControl w:val="0"/>
        <w:numPr>
          <w:ilvl w:val="0"/>
          <w:numId w:val="0"/>
        </w:numPr>
        <w:tabs>
          <w:tab w:val="left" w:pos="7020"/>
        </w:tabs>
        <w:kinsoku/>
        <w:wordWrap/>
        <w:overflowPunct/>
        <w:topLinePunct w:val="0"/>
        <w:autoSpaceDE/>
        <w:autoSpaceDN/>
        <w:bidi w:val="0"/>
        <w:adjustRightInd/>
        <w:snapToGrid/>
        <w:spacing w:line="440" w:lineRule="exact"/>
        <w:ind w:left="0" w:leftChars="0" w:firstLine="640" w:firstLineChars="200"/>
        <w:jc w:val="both"/>
        <w:textAlignment w:val="auto"/>
        <w:rPr>
          <w:rFonts w:hint="eastAsia"/>
          <w:lang w:val="en-US" w:eastAsia="zh-CN"/>
        </w:rPr>
      </w:pPr>
      <w:r>
        <w:rPr>
          <w:rFonts w:hint="eastAsia" w:ascii="仿宋_GB2312" w:hAnsi="仿宋_GB2312" w:eastAsia="仿宋_GB2312" w:cs="仿宋_GB2312"/>
          <w:b w:val="0"/>
          <w:bCs w:val="0"/>
          <w:i w:val="0"/>
          <w:strike w:val="0"/>
          <w:color w:val="auto"/>
          <w:kern w:val="0"/>
          <w:sz w:val="32"/>
          <w:szCs w:val="32"/>
          <w:highlight w:val="none"/>
          <w:u w:val="none"/>
          <w:lang w:val="en-US" w:eastAsia="zh-CN" w:bidi="ar-SA"/>
        </w:rPr>
        <w:t>最高限价（人民币）： 84800 元；</w:t>
      </w:r>
    </w:p>
    <w:p w14:paraId="569B36D8">
      <w:pPr>
        <w:keepNext/>
        <w:keepLines/>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lang w:val="en-US" w:eastAsia="zh-CN"/>
        </w:rPr>
      </w:pPr>
      <w:r>
        <w:rPr>
          <w:rFonts w:hint="eastAsia" w:ascii="Times New Roman" w:hAnsi="Times New Roman" w:eastAsia="仿宋_GB2312" w:cs="Times New Roman"/>
          <w:b/>
          <w:bCs/>
          <w:sz w:val="32"/>
          <w:szCs w:val="32"/>
          <w:lang w:val="en-US" w:eastAsia="zh-CN"/>
        </w:rPr>
        <w:t>二、采购内容及相关要求</w:t>
      </w:r>
    </w:p>
    <w:p w14:paraId="18875777">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ascii="仿宋_GB2312" w:hAnsi="仿宋_GB2312" w:eastAsia="仿宋_GB2312" w:cs="仿宋_GB2312"/>
          <w:b/>
          <w:bCs/>
          <w:sz w:val="32"/>
          <w:szCs w:val="32"/>
          <w:lang w:val="en-US" w:eastAsia="zh-CN"/>
        </w:rPr>
        <w:t>（一）采购清单</w:t>
      </w:r>
    </w:p>
    <w:tbl>
      <w:tblPr>
        <w:tblStyle w:val="7"/>
        <w:tblW w:w="10237" w:type="dxa"/>
        <w:jc w:val="center"/>
        <w:tblCellSpacing w:w="15" w:type="dxa"/>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Layout w:type="autofit"/>
        <w:tblCellMar>
          <w:top w:w="0" w:type="dxa"/>
          <w:left w:w="0" w:type="dxa"/>
          <w:bottom w:w="0" w:type="dxa"/>
          <w:right w:w="0" w:type="dxa"/>
        </w:tblCellMar>
      </w:tblPr>
      <w:tblGrid>
        <w:gridCol w:w="476"/>
        <w:gridCol w:w="3021"/>
        <w:gridCol w:w="1575"/>
        <w:gridCol w:w="769"/>
        <w:gridCol w:w="2632"/>
        <w:gridCol w:w="450"/>
        <w:gridCol w:w="1314"/>
      </w:tblGrid>
      <w:tr w14:paraId="2B6CD97C">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67D2D1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序号</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14D0DC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位置</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674B49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highlight w:val="none"/>
                <w:lang w:val="en-US" w:eastAsia="zh-CN"/>
              </w:rPr>
            </w:pPr>
            <w:bookmarkStart w:id="0" w:name="OLE_LINK1"/>
            <w:r>
              <w:rPr>
                <w:rFonts w:hint="eastAsia" w:ascii="仿宋_GB2312" w:hAnsi="仿宋_GB2312" w:eastAsia="仿宋_GB2312" w:cs="仿宋_GB2312"/>
                <w:b/>
                <w:sz w:val="24"/>
                <w:szCs w:val="24"/>
                <w:highlight w:val="none"/>
                <w:lang w:val="en-US" w:eastAsia="zh-CN"/>
              </w:rPr>
              <w:t>洞口尺寸</w:t>
            </w:r>
          </w:p>
          <w:p w14:paraId="3030279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（宽×高，mm）</w:t>
            </w:r>
            <w:bookmarkEnd w:id="0"/>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149561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楼层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CC11E6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sz w:val="24"/>
                <w:szCs w:val="24"/>
                <w:highlight w:val="none"/>
                <w:lang w:val="en-US"/>
              </w:rPr>
            </w:pPr>
            <w:r>
              <w:rPr>
                <w:rFonts w:hint="eastAsia" w:ascii="仿宋_GB2312" w:hAnsi="仿宋_GB2312" w:eastAsia="仿宋_GB2312" w:cs="仿宋_GB2312"/>
                <w:b/>
                <w:sz w:val="24"/>
                <w:szCs w:val="24"/>
                <w:highlight w:val="none"/>
                <w:lang w:val="en-US" w:eastAsia="zh-CN"/>
              </w:rPr>
              <w:t>货物名称</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606B31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数量</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0250985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最高限制单价（元）</w:t>
            </w:r>
          </w:p>
        </w:tc>
      </w:tr>
      <w:tr w14:paraId="5F50D8E4">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32E561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6A3D52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1号楼至3号楼连廊</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51E280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2390×1470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F385EB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B2D659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双扇甲级隔热防火门+常开联动控制系统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97A089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5FEA3B3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4200</w:t>
            </w:r>
          </w:p>
        </w:tc>
      </w:tr>
      <w:tr w14:paraId="174564F7">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F37836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64FC56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1号楼至3号楼连廊</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599CB3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2390×1470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C18062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2层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EE8C29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双扇甲级隔热防火门+常开联动控制系统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903815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4B5E871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4200</w:t>
            </w:r>
          </w:p>
        </w:tc>
      </w:tr>
      <w:tr w14:paraId="1A86123F">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43E522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63BAF6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4号楼地下室西（停车场）</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DDE3B9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1480×2090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9E7075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8D066F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BD30DB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7521005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4200</w:t>
            </w:r>
          </w:p>
        </w:tc>
      </w:tr>
      <w:tr w14:paraId="2DAA057E">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84F3E4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3A6094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4号楼西疏散通道（职工电梯）</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E70762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1430×2020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960AF7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BFCC1A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双扇甲级隔热防火门+常开联动控制系统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92E622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612DE8E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4200</w:t>
            </w:r>
          </w:p>
        </w:tc>
      </w:tr>
      <w:tr w14:paraId="6A162C28">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58AD72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EEE309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4号楼地下室东（停车场）</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3DAAF3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1480×2090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602CDB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16589B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E136F4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071484B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4200</w:t>
            </w:r>
          </w:p>
        </w:tc>
      </w:tr>
      <w:tr w14:paraId="0DA74C48">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75578E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C0CDC5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1号楼西南侧疏散通道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6A87BA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1470×2400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24D064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206508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379BAC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132DBA5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2200</w:t>
            </w:r>
          </w:p>
        </w:tc>
      </w:tr>
      <w:tr w14:paraId="1C6392E5">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DD373E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073DB5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1号楼西南侧疏散通道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36C805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1470×2390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FCF748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2D29CD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225BEB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6081671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2200</w:t>
            </w:r>
          </w:p>
        </w:tc>
      </w:tr>
      <w:tr w14:paraId="438954BF">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E414FE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5B7FF6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1号楼西南侧疏散通道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1545C0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1470×2390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C32D5A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EF16C2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4F918F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0BCE3F3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2200</w:t>
            </w:r>
          </w:p>
        </w:tc>
      </w:tr>
      <w:tr w14:paraId="525F2FC0">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A30A9D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B2437E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4号楼地下室西（楼梯）</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A080BF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480CF7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2E7889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B62489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45FC016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2000</w:t>
            </w:r>
          </w:p>
        </w:tc>
      </w:tr>
      <w:tr w14:paraId="71B0FE5E">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CD7294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C20BA4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4号楼地下室东（楼梯）</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2C0A1D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550A16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D2DDF1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186EA1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10643C0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2000</w:t>
            </w:r>
          </w:p>
        </w:tc>
      </w:tr>
      <w:tr w14:paraId="0A24C399">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076AFB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A3DD78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4号楼西疏散通道（楼梯）</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415482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FD39F3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EDF251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688F65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467A24C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2000</w:t>
            </w:r>
          </w:p>
        </w:tc>
      </w:tr>
      <w:tr w14:paraId="524DF665">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EC6E87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C245A1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4号楼西通道（东西方向）</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246C47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1C278A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DB7551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43C897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4585C48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2000</w:t>
            </w:r>
          </w:p>
        </w:tc>
      </w:tr>
      <w:tr w14:paraId="5C7DCB83">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A77668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13</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44487A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4号楼西通道（南北方向）</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9265A4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63F738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3B41D6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34F2E5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0A9B5DD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2000</w:t>
            </w:r>
          </w:p>
        </w:tc>
      </w:tr>
      <w:tr w14:paraId="46606A01">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5B0523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59DA90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东院一层电梯厅</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9896D9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2F486A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7CC446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096E82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4135C3E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2000</w:t>
            </w:r>
          </w:p>
        </w:tc>
      </w:tr>
      <w:tr w14:paraId="39B4171D">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3536E4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4F7667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1号楼至4号楼连廊</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50E9F3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0B2FC6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2A247C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常开联动控制系统</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A456D7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007DCEC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2000</w:t>
            </w:r>
          </w:p>
        </w:tc>
      </w:tr>
      <w:tr w14:paraId="45157E2D">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5FFA72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16</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310E8D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3号楼地下室负压泵房</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2758C4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1480×2100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8A5641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F4C9F8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5BB308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36ECDF1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1800</w:t>
            </w:r>
          </w:p>
        </w:tc>
      </w:tr>
      <w:tr w14:paraId="63589887">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53A4D4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17</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0E653D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3号楼东侧疏散通道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0A9EB3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40B3C9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FEDAFB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7B0A7A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07C739F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3E83058D">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E8B755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D93ABC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3号楼东侧疏散通道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F05521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E48BAC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2层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973950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68935C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2517B4B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22B3AB36">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BF77AD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19</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A6D83E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3号楼东侧疏散通道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6A40EA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632E94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3层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0873EA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2D2A63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6975B13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75AD6841">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5ACFBB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E86FFF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3号楼西侧疏散通道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B40B6B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77BA34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2EB1DB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F9B779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72EF843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1800</w:t>
            </w:r>
          </w:p>
        </w:tc>
      </w:tr>
      <w:tr w14:paraId="5FB906F1">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E83DC9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21</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2AE5B0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3号楼西侧疏散通道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4D2AB5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2178AB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2层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D044BB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0036FC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57B5EE2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05C961AC">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556966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A1E6AC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3号楼西侧疏散通道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DAE2E0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91E7E6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AE768B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B0394E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6CD0025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4A0FCAC8">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BE1BF9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23</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10D152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3号楼西侧疏散通道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5C5222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B3FE05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4层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CA4415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06F5D2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3082EAF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1800</w:t>
            </w:r>
          </w:p>
        </w:tc>
      </w:tr>
      <w:tr w14:paraId="190BDF77">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245776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24</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CD2F03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3号楼西侧疏散通道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0425F3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9BC524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C56B10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FB7AB6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39CACF2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731DFF78">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D95588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25</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842E7C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3号楼西侧疏散通道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3C8A25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64FE37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9001B9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B87161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74997E0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47FAAC2E">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E8C6A8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26</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DF2D83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3号楼楼顶东（朝北）</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1FF6C2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1470×2150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24635E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楼顶</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AA546A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443B53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49F3E18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4D87EE15">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B1A0BD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27</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27843C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3号楼楼顶东（朝南）</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3F41E1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1470×2150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74A2CB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楼顶</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CE7AD6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B7DE69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2F065FC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1800</w:t>
            </w:r>
          </w:p>
        </w:tc>
      </w:tr>
      <w:tr w14:paraId="4F3B435E">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E2FB33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28</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128439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3号楼（中）电梯机房</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910BE5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1470×2150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BFBC71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楼顶</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58E820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301C22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553B55F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5C4722F8">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374F1E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29</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26DDFE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3号楼楼顶西</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3AFE9A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1470×2150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FBC15D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楼顶</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991373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D37059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08FFA5D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6C1C2201">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8295C6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30</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0A0526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4号楼楼顶西</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2B3984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1470×1750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050001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楼顶</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5398F6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87C7D6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0E2FA67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569FD445">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7FFD41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31</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652846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东院一层（通往地下室）</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6406EC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1260×2050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DC37BF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763718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58D14E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3EC1378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6667D7C5">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E9A386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32</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D4EE3C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3号楼东侧疏散通道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F7418A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08D5BB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78E3E7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597571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0327045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1EA20CEB">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A8ED65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33</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288E46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3号楼东侧疏散通道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70FE01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D91B99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5层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BBFDF2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AF2111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6847B15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350F0CAF">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7C667C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34</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582B35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3号楼东侧疏散通道</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A79A14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1470×2090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E353A9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DFB330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95D920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03517B8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1800</w:t>
            </w:r>
          </w:p>
        </w:tc>
      </w:tr>
      <w:tr w14:paraId="6C989999">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85B430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35</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45201E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1号楼南侧配电间</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976B04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980×2070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C27960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1FD3E0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单扇甲级隔热防火门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B30639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0EF687A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1500</w:t>
            </w:r>
          </w:p>
        </w:tc>
      </w:tr>
      <w:tr w14:paraId="0970971F">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DD5BD4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36</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2072BA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2号楼一层配电间</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4A0308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960×2070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3E5819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6E24C9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6E6920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26DA3F9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1500</w:t>
            </w:r>
          </w:p>
        </w:tc>
      </w:tr>
      <w:tr w14:paraId="3AF657ED">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65C7A3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37</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C2E6B9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5号楼东配电间</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218C91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980×2110</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43C250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 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08F2F7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33F5A2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42838C7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1500</w:t>
            </w:r>
          </w:p>
        </w:tc>
      </w:tr>
      <w:tr w14:paraId="67F98C19">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0C44969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38</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1B8676E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1号楼弱电机房</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7DC8A2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1045×2135</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C3D644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6A7FA27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7A2AE30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32B0FD5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1500</w:t>
            </w:r>
          </w:p>
        </w:tc>
      </w:tr>
      <w:tr w14:paraId="0AF8634B">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BF9724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39</w:t>
            </w:r>
          </w:p>
        </w:tc>
        <w:tc>
          <w:tcPr>
            <w:tcW w:w="2991"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24E5C37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1号楼弱电机房</w:t>
            </w:r>
          </w:p>
        </w:tc>
        <w:tc>
          <w:tcPr>
            <w:tcW w:w="1545"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8742A7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1045×2135</w:t>
            </w:r>
          </w:p>
        </w:tc>
        <w:tc>
          <w:tcPr>
            <w:tcW w:w="739"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54DCFCC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2层</w:t>
            </w:r>
          </w:p>
        </w:tc>
        <w:tc>
          <w:tcPr>
            <w:tcW w:w="2602"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3010C5A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单扇甲级隔热防火门</w:t>
            </w:r>
          </w:p>
        </w:tc>
        <w:tc>
          <w:tcPr>
            <w:tcW w:w="420" w:type="dxa"/>
            <w:tcBorders>
              <w:top w:val="single" w:color="auto" w:sz="4" w:space="0"/>
              <w:left w:val="single" w:color="auto" w:sz="4" w:space="0"/>
              <w:bottom w:val="nil"/>
              <w:right w:val="nil"/>
              <w:tl2br w:val="nil"/>
              <w:tr2bl w:val="nil"/>
            </w:tcBorders>
            <w:shd w:val="clear" w:color="auto" w:fill="auto"/>
            <w:noWrap w:val="0"/>
            <w:tcMar>
              <w:top w:w="-1" w:type="dxa"/>
              <w:left w:w="-1" w:type="dxa"/>
              <w:bottom w:w="-1" w:type="dxa"/>
              <w:right w:w="-1" w:type="dxa"/>
            </w:tcMar>
            <w:vAlign w:val="center"/>
          </w:tcPr>
          <w:p w14:paraId="409BA03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nil"/>
              <w:right w:val="single" w:color="auto" w:sz="4" w:space="0"/>
              <w:tl2br w:val="nil"/>
              <w:tr2bl w:val="nil"/>
            </w:tcBorders>
            <w:shd w:val="clear" w:color="auto" w:fill="auto"/>
            <w:noWrap w:val="0"/>
            <w:tcMar>
              <w:top w:w="-1" w:type="dxa"/>
              <w:left w:w="-1" w:type="dxa"/>
              <w:bottom w:w="-1" w:type="dxa"/>
              <w:right w:w="-1" w:type="dxa"/>
            </w:tcMar>
            <w:vAlign w:val="center"/>
          </w:tcPr>
          <w:p w14:paraId="41E6662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1500</w:t>
            </w:r>
          </w:p>
        </w:tc>
      </w:tr>
      <w:tr w14:paraId="4CF45B45">
        <w:tblPrEx>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CellMar>
            <w:top w:w="0" w:type="dxa"/>
            <w:left w:w="0" w:type="dxa"/>
            <w:bottom w:w="0" w:type="dxa"/>
            <w:right w:w="0" w:type="dxa"/>
          </w:tblCellMar>
        </w:tblPrEx>
        <w:trPr>
          <w:trHeight w:val="0" w:hRule="atLeast"/>
          <w:tblHeader/>
          <w:tblCellSpacing w:w="15" w:type="dxa"/>
          <w:jc w:val="center"/>
        </w:trPr>
        <w:tc>
          <w:tcPr>
            <w:tcW w:w="431" w:type="dxa"/>
            <w:tcBorders>
              <w:top w:val="single" w:color="auto" w:sz="4" w:space="0"/>
              <w:left w:val="single" w:color="auto" w:sz="4" w:space="0"/>
              <w:bottom w:val="single" w:color="auto" w:sz="4" w:space="0"/>
              <w:right w:val="nil"/>
              <w:tl2br w:val="nil"/>
              <w:tr2bl w:val="nil"/>
            </w:tcBorders>
            <w:shd w:val="clear" w:color="auto" w:fill="auto"/>
            <w:noWrap w:val="0"/>
            <w:tcMar>
              <w:top w:w="-1" w:type="dxa"/>
              <w:left w:w="-1" w:type="dxa"/>
              <w:bottom w:w="-1" w:type="dxa"/>
              <w:right w:w="-1" w:type="dxa"/>
            </w:tcMar>
            <w:vAlign w:val="center"/>
          </w:tcPr>
          <w:p w14:paraId="3E6B161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40</w:t>
            </w:r>
          </w:p>
        </w:tc>
        <w:tc>
          <w:tcPr>
            <w:tcW w:w="2991" w:type="dxa"/>
            <w:tcBorders>
              <w:top w:val="single" w:color="auto" w:sz="4" w:space="0"/>
              <w:left w:val="single" w:color="auto" w:sz="4" w:space="0"/>
              <w:bottom w:val="single" w:color="auto" w:sz="4" w:space="0"/>
              <w:right w:val="nil"/>
              <w:tl2br w:val="nil"/>
              <w:tr2bl w:val="nil"/>
            </w:tcBorders>
            <w:shd w:val="clear" w:color="auto" w:fill="auto"/>
            <w:noWrap w:val="0"/>
            <w:tcMar>
              <w:top w:w="-1" w:type="dxa"/>
              <w:left w:w="-1" w:type="dxa"/>
              <w:bottom w:w="-1" w:type="dxa"/>
              <w:right w:w="-1" w:type="dxa"/>
            </w:tcMar>
            <w:vAlign w:val="center"/>
          </w:tcPr>
          <w:p w14:paraId="55D17B0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1号楼弱电机房</w:t>
            </w:r>
          </w:p>
        </w:tc>
        <w:tc>
          <w:tcPr>
            <w:tcW w:w="1545" w:type="dxa"/>
            <w:tcBorders>
              <w:top w:val="single" w:color="auto" w:sz="4" w:space="0"/>
              <w:left w:val="single" w:color="auto" w:sz="4" w:space="0"/>
              <w:bottom w:val="single" w:color="auto" w:sz="4" w:space="0"/>
              <w:right w:val="nil"/>
              <w:tl2br w:val="nil"/>
              <w:tr2bl w:val="nil"/>
            </w:tcBorders>
            <w:shd w:val="clear" w:color="auto" w:fill="auto"/>
            <w:noWrap w:val="0"/>
            <w:tcMar>
              <w:top w:w="-1" w:type="dxa"/>
              <w:left w:w="-1" w:type="dxa"/>
              <w:bottom w:w="-1" w:type="dxa"/>
              <w:right w:w="-1" w:type="dxa"/>
            </w:tcMar>
            <w:vAlign w:val="center"/>
          </w:tcPr>
          <w:p w14:paraId="0D473C4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1045×2135</w:t>
            </w:r>
          </w:p>
        </w:tc>
        <w:tc>
          <w:tcPr>
            <w:tcW w:w="739" w:type="dxa"/>
            <w:tcBorders>
              <w:top w:val="single" w:color="auto" w:sz="4" w:space="0"/>
              <w:left w:val="single" w:color="auto" w:sz="4" w:space="0"/>
              <w:bottom w:val="single" w:color="auto" w:sz="4" w:space="0"/>
              <w:right w:val="nil"/>
              <w:tl2br w:val="nil"/>
              <w:tr2bl w:val="nil"/>
            </w:tcBorders>
            <w:shd w:val="clear" w:color="auto" w:fill="auto"/>
            <w:noWrap w:val="0"/>
            <w:tcMar>
              <w:top w:w="-1" w:type="dxa"/>
              <w:left w:w="-1" w:type="dxa"/>
              <w:bottom w:w="-1" w:type="dxa"/>
              <w:right w:w="-1" w:type="dxa"/>
            </w:tcMar>
            <w:vAlign w:val="center"/>
          </w:tcPr>
          <w:p w14:paraId="4112F79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3层</w:t>
            </w:r>
          </w:p>
        </w:tc>
        <w:tc>
          <w:tcPr>
            <w:tcW w:w="2602" w:type="dxa"/>
            <w:tcBorders>
              <w:top w:val="single" w:color="auto" w:sz="4" w:space="0"/>
              <w:left w:val="single" w:color="auto" w:sz="4" w:space="0"/>
              <w:bottom w:val="single" w:color="auto" w:sz="4" w:space="0"/>
              <w:right w:val="nil"/>
              <w:tl2br w:val="nil"/>
              <w:tr2bl w:val="nil"/>
            </w:tcBorders>
            <w:shd w:val="clear" w:color="auto" w:fill="auto"/>
            <w:noWrap w:val="0"/>
            <w:tcMar>
              <w:top w:w="-1" w:type="dxa"/>
              <w:left w:w="-1" w:type="dxa"/>
              <w:bottom w:w="-1" w:type="dxa"/>
              <w:right w:w="-1" w:type="dxa"/>
            </w:tcMar>
            <w:vAlign w:val="center"/>
          </w:tcPr>
          <w:p w14:paraId="37B8077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单扇甲级隔热防火门</w:t>
            </w:r>
          </w:p>
        </w:tc>
        <w:tc>
          <w:tcPr>
            <w:tcW w:w="420" w:type="dxa"/>
            <w:tcBorders>
              <w:top w:val="single" w:color="auto" w:sz="4" w:space="0"/>
              <w:left w:val="single" w:color="auto" w:sz="4" w:space="0"/>
              <w:bottom w:val="single" w:color="auto" w:sz="4" w:space="0"/>
              <w:right w:val="nil"/>
              <w:tl2br w:val="nil"/>
              <w:tr2bl w:val="nil"/>
            </w:tcBorders>
            <w:shd w:val="clear" w:color="auto" w:fill="auto"/>
            <w:noWrap w:val="0"/>
            <w:tcMar>
              <w:top w:w="-1" w:type="dxa"/>
              <w:left w:w="-1" w:type="dxa"/>
              <w:bottom w:w="-1" w:type="dxa"/>
              <w:right w:w="-1" w:type="dxa"/>
            </w:tcMar>
            <w:vAlign w:val="center"/>
          </w:tcPr>
          <w:p w14:paraId="04FD5F4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26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tcMar>
              <w:top w:w="-1" w:type="dxa"/>
              <w:left w:w="-1" w:type="dxa"/>
              <w:bottom w:w="-1" w:type="dxa"/>
              <w:right w:w="-1" w:type="dxa"/>
            </w:tcMar>
            <w:vAlign w:val="center"/>
          </w:tcPr>
          <w:p w14:paraId="1DB7046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1500</w:t>
            </w:r>
          </w:p>
        </w:tc>
      </w:tr>
    </w:tbl>
    <w:p w14:paraId="72DDD573">
      <w:pPr>
        <w:keepNext w:val="0"/>
        <w:keepLines w:val="0"/>
        <w:pageBreakBefore w:val="0"/>
        <w:widowControl w:val="0"/>
        <w:tabs>
          <w:tab w:val="left" w:pos="7020"/>
        </w:tabs>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lang w:val="en-US" w:eastAsia="zh-CN"/>
        </w:rPr>
      </w:pPr>
    </w:p>
    <w:p w14:paraId="303045E9">
      <w:pPr>
        <w:keepNext w:val="0"/>
        <w:keepLines w:val="0"/>
        <w:pageBreakBefore w:val="0"/>
        <w:widowControl w:val="0"/>
        <w:numPr>
          <w:ilvl w:val="0"/>
          <w:numId w:val="1"/>
        </w:numPr>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服务内容及参数要求</w:t>
      </w:r>
    </w:p>
    <w:p w14:paraId="09D745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项目概况：</w:t>
      </w:r>
    </w:p>
    <w:p w14:paraId="7C7E50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本次采购为院内钢制防火门及联动控制系统更换，含旧门拆除、垃圾清运、新门制作安装、五金配件、门洞修补灌浆、联动调试、检测及验收。</w:t>
      </w:r>
    </w:p>
    <w:p w14:paraId="32FFA69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项目要求：</w:t>
      </w:r>
    </w:p>
    <w:p w14:paraId="0DC835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需供应商自行现场踏勘，洞口尺寸以现场实测为准。报价含踏勘、复测、运输、装卸、安装、成品保护、现场垃圾清运(旧防火门移至院方制定地点）、调试、质保等全部费用。</w:t>
      </w:r>
    </w:p>
    <w:p w14:paraId="44ED2F1C">
      <w:pPr>
        <w:pStyle w:val="2"/>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3、技术参数：</w:t>
      </w:r>
    </w:p>
    <w:p w14:paraId="16F08DCD">
      <w:pPr>
        <w:pStyle w:val="2"/>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kern w:val="0"/>
          <w:sz w:val="32"/>
          <w:szCs w:val="32"/>
          <w:highlight w:val="none"/>
          <w:lang w:val="en-US" w:eastAsia="zh-CN" w:bidi="ar-SA"/>
        </w:rPr>
        <w:t xml:space="preserve">1 </w:t>
      </w:r>
      <w:r>
        <w:rPr>
          <w:rFonts w:hint="eastAsia" w:ascii="仿宋_GB2312" w:hAnsi="仿宋_GB2312" w:eastAsia="仿宋_GB2312" w:cs="仿宋_GB2312"/>
          <w:sz w:val="32"/>
          <w:szCs w:val="32"/>
          <w:highlight w:val="none"/>
          <w:lang w:val="en-US" w:eastAsia="zh-CN"/>
        </w:rPr>
        <w:t>防火门：门框≥1.2mm、门扇≥0.8mm，珍珠岩填充；含拆除、清运、修补、灌浆、全套五金、闭门器；提供第三方检测报告</w:t>
      </w:r>
    </w:p>
    <w:p w14:paraId="125F21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3.2 材质要求：钢制防火门，门框料厚≥1.2mm、门扇料厚≥0.8mm，门芯采用珍珠岩填充，燃烧性能符合A2级及以上。</w:t>
      </w:r>
    </w:p>
    <w:p w14:paraId="25C148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3.3 外观要求：防火门外观、颜色、款式须与院内现有防火门一致。</w:t>
      </w:r>
    </w:p>
    <w:p w14:paraId="3D4677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3.4 执行标准：</w:t>
      </w:r>
      <w:r>
        <w:rPr>
          <w:rFonts w:hint="eastAsia" w:ascii="仿宋_GB2312" w:hAnsi="仿宋_GB2312" w:eastAsia="仿宋_GB2312" w:cs="仿宋_GB2312"/>
          <w:b w:val="0"/>
          <w:bCs w:val="0"/>
          <w:sz w:val="32"/>
          <w:szCs w:val="40"/>
          <w:highlight w:val="none"/>
          <w:lang w:val="en-US" w:eastAsia="zh-CN"/>
        </w:rPr>
        <w:t>GB12955-2008《防火门》</w:t>
      </w:r>
      <w:r>
        <w:rPr>
          <w:rFonts w:hint="eastAsia" w:ascii="仿宋_GB2312" w:hAnsi="仿宋_GB2312" w:eastAsia="仿宋_GB2312" w:cs="仿宋_GB2312"/>
          <w:sz w:val="32"/>
          <w:szCs w:val="32"/>
          <w:highlight w:val="none"/>
          <w:lang w:val="en-US" w:eastAsia="zh-CN"/>
        </w:rPr>
        <w:t>。</w:t>
      </w:r>
    </w:p>
    <w:p w14:paraId="1268BF13">
      <w:pPr>
        <w:pStyle w:val="2"/>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bidi="ar-SA"/>
        </w:rPr>
        <w:t xml:space="preserve">3.5 </w:t>
      </w:r>
      <w:r>
        <w:rPr>
          <w:rFonts w:hint="eastAsia" w:ascii="仿宋_GB2312" w:hAnsi="仿宋_GB2312" w:eastAsia="仿宋_GB2312" w:cs="仿宋_GB2312"/>
          <w:sz w:val="32"/>
          <w:szCs w:val="32"/>
          <w:highlight w:val="none"/>
          <w:lang w:val="en-US" w:eastAsia="zh-CN"/>
        </w:rPr>
        <w:t>常开、火灾自动关闭并反馈；含电磁释放器、电动闭门器、门磁、监控器、模块、总线、探测器</w:t>
      </w:r>
      <w:bookmarkStart w:id="1" w:name="_GoBack"/>
      <w:bookmarkEnd w:id="1"/>
      <w:r>
        <w:rPr>
          <w:rFonts w:hint="eastAsia" w:ascii="仿宋_GB2312" w:hAnsi="仿宋_GB2312" w:eastAsia="仿宋_GB2312" w:cs="仿宋_GB2312"/>
          <w:sz w:val="32"/>
          <w:szCs w:val="32"/>
          <w:highlight w:val="none"/>
          <w:lang w:val="en-US" w:eastAsia="zh-CN"/>
        </w:rPr>
        <w:t>、穿管敷设、调试、联动检测报告</w:t>
      </w:r>
    </w:p>
    <w:p w14:paraId="572B3CDD">
      <w:pPr>
        <w:pStyle w:val="2"/>
        <w:rPr>
          <w:rFonts w:hint="default"/>
          <w:lang w:val="en-US" w:eastAsia="zh-CN"/>
        </w:rPr>
      </w:pPr>
    </w:p>
    <w:p w14:paraId="5BCB841F">
      <w:pPr>
        <w:pStyle w:val="2"/>
        <w:numPr>
          <w:ilvl w:val="0"/>
          <w:numId w:val="0"/>
        </w:numPr>
        <w:rPr>
          <w:rFonts w:hint="default"/>
          <w:lang w:val="en-US" w:eastAsia="zh-CN"/>
        </w:rPr>
      </w:pPr>
    </w:p>
    <w:p w14:paraId="0A9E71B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（三）商务要求</w:t>
      </w:r>
    </w:p>
    <w:p w14:paraId="5E31E3F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color w:val="FF0000"/>
          <w:sz w:val="32"/>
          <w:szCs w:val="32"/>
          <w:highlight w:val="yellow"/>
          <w:lang w:val="en-US" w:eastAsia="zh-CN"/>
        </w:rPr>
        <w:t>（本项目商务要求为不允许负偏离的实质性要求和条件）</w:t>
      </w:r>
    </w:p>
    <w:p w14:paraId="5FCFE6A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1、所有货物（包括零部件）须为全新的、未使用过的原装正品。提交货物的技术参数和配置应与</w:t>
      </w:r>
      <w:r>
        <w:rPr>
          <w:rFonts w:hint="eastAsia" w:ascii="仿宋_GB2312" w:hAnsi="仿宋_GB2312" w:eastAsia="仿宋_GB2312" w:cs="仿宋_GB2312"/>
          <w:sz w:val="32"/>
          <w:szCs w:val="32"/>
          <w:lang w:val="en-US" w:eastAsia="zh-CN"/>
        </w:rPr>
        <w:t>磋商</w:t>
      </w:r>
      <w:r>
        <w:rPr>
          <w:rFonts w:hint="default" w:ascii="仿宋_GB2312" w:hAnsi="仿宋_GB2312" w:eastAsia="仿宋_GB2312" w:cs="仿宋_GB2312"/>
          <w:sz w:val="32"/>
          <w:szCs w:val="32"/>
          <w:lang w:val="en-US" w:eastAsia="zh-CN"/>
        </w:rPr>
        <w:t>文件的要求及其响应文件的技术响应表（如果被</w:t>
      </w:r>
      <w:r>
        <w:rPr>
          <w:rFonts w:hint="eastAsia" w:ascii="仿宋_GB2312" w:hAnsi="仿宋_GB2312" w:eastAsia="仿宋_GB2312" w:cs="仿宋_GB2312"/>
          <w:sz w:val="32"/>
          <w:szCs w:val="32"/>
          <w:lang w:val="en-US" w:eastAsia="zh-CN"/>
        </w:rPr>
        <w:t>磋商小组</w:t>
      </w:r>
      <w:r>
        <w:rPr>
          <w:rFonts w:hint="default" w:ascii="仿宋_GB2312" w:hAnsi="仿宋_GB2312" w:eastAsia="仿宋_GB2312" w:cs="仿宋_GB2312"/>
          <w:sz w:val="32"/>
          <w:szCs w:val="32"/>
          <w:lang w:val="en-US" w:eastAsia="zh-CN"/>
        </w:rPr>
        <w:t>接受的话）相一致。若</w:t>
      </w:r>
      <w:r>
        <w:rPr>
          <w:rFonts w:hint="eastAsia" w:ascii="仿宋_GB2312" w:hAnsi="仿宋_GB2312" w:eastAsia="仿宋_GB2312" w:cs="仿宋_GB2312"/>
          <w:sz w:val="32"/>
          <w:szCs w:val="32"/>
          <w:lang w:val="en-US" w:eastAsia="zh-CN"/>
        </w:rPr>
        <w:t>磋商</w:t>
      </w:r>
      <w:r>
        <w:rPr>
          <w:rFonts w:hint="default" w:ascii="仿宋_GB2312" w:hAnsi="仿宋_GB2312" w:eastAsia="仿宋_GB2312" w:cs="仿宋_GB2312"/>
          <w:sz w:val="32"/>
          <w:szCs w:val="32"/>
          <w:lang w:val="en-US" w:eastAsia="zh-CN"/>
        </w:rPr>
        <w:t>文件及响应文件中无相应说明，则以国家有关部门最新颁布的相应标准及规范为准。</w:t>
      </w:r>
    </w:p>
    <w:p w14:paraId="533C22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2、所有货物必须符合国家相关强制性要求。</w:t>
      </w:r>
    </w:p>
    <w:p w14:paraId="3A49B212">
      <w:pPr>
        <w:keepNext w:val="0"/>
        <w:keepLines w:val="0"/>
        <w:pageBreakBefore w:val="0"/>
        <w:widowControl w:val="0"/>
        <w:tabs>
          <w:tab w:val="left" w:pos="7020"/>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bCs/>
          <w:color w:val="FF0000"/>
          <w:sz w:val="32"/>
          <w:szCs w:val="32"/>
          <w:highlight w:val="yellow"/>
          <w:lang w:val="en-US" w:eastAsia="zh-CN"/>
        </w:rPr>
      </w:pPr>
      <w:r>
        <w:rPr>
          <w:rFonts w:hint="default" w:ascii="仿宋_GB2312" w:hAnsi="仿宋_GB2312" w:eastAsia="仿宋_GB2312" w:cs="仿宋_GB2312"/>
          <w:b/>
          <w:bCs/>
          <w:color w:val="FF0000"/>
          <w:sz w:val="32"/>
          <w:szCs w:val="32"/>
          <w:highlight w:val="yellow"/>
          <w:lang w:val="en-US" w:eastAsia="zh-CN"/>
        </w:rPr>
        <w:t>3、</w:t>
      </w:r>
      <w:r>
        <w:rPr>
          <w:rFonts w:hint="eastAsia" w:ascii="仿宋_GB2312" w:hAnsi="仿宋_GB2312" w:eastAsia="仿宋_GB2312" w:cs="仿宋_GB2312"/>
          <w:b/>
          <w:bCs/>
          <w:color w:val="FF0000"/>
          <w:sz w:val="32"/>
          <w:szCs w:val="32"/>
          <w:highlight w:val="yellow"/>
          <w:lang w:val="en-US" w:eastAsia="zh-CN"/>
        </w:rPr>
        <w:t>供应商响应文件中须</w:t>
      </w:r>
      <w:r>
        <w:rPr>
          <w:rFonts w:hint="eastAsia" w:ascii="仿宋_GB2312" w:hAnsi="仿宋_GB2312" w:eastAsia="仿宋_GB2312" w:cs="仿宋_GB2312"/>
          <w:b/>
          <w:bCs/>
          <w:color w:val="FF0000"/>
          <w:sz w:val="32"/>
          <w:szCs w:val="40"/>
          <w:highlight w:val="yellow"/>
          <w:lang w:val="en-US" w:eastAsia="zh-CN"/>
        </w:rPr>
        <w:t>提供所投</w:t>
      </w:r>
      <w:r>
        <w:rPr>
          <w:rFonts w:hint="eastAsia" w:ascii="仿宋_GB2312" w:hAnsi="仿宋_GB2312" w:eastAsia="仿宋_GB2312" w:cs="仿宋_GB2312"/>
          <w:b/>
          <w:bCs/>
          <w:color w:val="FF0000"/>
          <w:kern w:val="2"/>
          <w:sz w:val="32"/>
          <w:szCs w:val="40"/>
          <w:highlight w:val="yellow"/>
          <w:lang w:val="en-US" w:eastAsia="zh-CN" w:bidi="ar-SA"/>
        </w:rPr>
        <w:t>防火门的</w:t>
      </w:r>
      <w:r>
        <w:rPr>
          <w:rFonts w:hint="eastAsia" w:ascii="仿宋_GB2312" w:hAnsi="仿宋_GB2312" w:eastAsia="仿宋_GB2312" w:cs="仿宋_GB2312"/>
          <w:b/>
          <w:bCs/>
          <w:color w:val="FF0000"/>
          <w:sz w:val="32"/>
          <w:szCs w:val="40"/>
          <w:highlight w:val="yellow"/>
          <w:lang w:val="en-US" w:eastAsia="zh-CN"/>
        </w:rPr>
        <w:t>国家防火建筑材料质量监督检验中心检测报告，否则视为商务要求未完全响应。</w:t>
      </w:r>
    </w:p>
    <w:p w14:paraId="112BD8BB">
      <w:pPr>
        <w:keepNext w:val="0"/>
        <w:keepLines w:val="0"/>
        <w:pageBreakBefore w:val="0"/>
        <w:widowControl w:val="0"/>
        <w:tabs>
          <w:tab w:val="left" w:pos="7020"/>
        </w:tabs>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lang w:val="en-US" w:eastAsia="zh-CN"/>
        </w:rPr>
        <w:t>技术支持</w:t>
      </w:r>
    </w:p>
    <w:p w14:paraId="10793D0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.1成交供应商应向采购人提供全方位及时而有效的技术支持和服务。</w:t>
      </w:r>
    </w:p>
    <w:p w14:paraId="6732781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.2成交供应商负责供货、运输并安装调试完毕。</w:t>
      </w:r>
    </w:p>
    <w:p w14:paraId="4B2D7A05">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3318650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 xml:space="preserve">、产品质保期、服务期及售后服务：                                        </w:t>
      </w:r>
    </w:p>
    <w:p w14:paraId="096F7D8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highlight w:val="yellow"/>
          <w:lang w:val="en-US" w:eastAsia="zh-CN"/>
        </w:rPr>
        <w:t>成交供应商须对本项目货物提供</w:t>
      </w:r>
      <w:r>
        <w:rPr>
          <w:rFonts w:hint="default" w:ascii="仿宋_GB2312" w:hAnsi="仿宋_GB2312" w:eastAsia="仿宋_GB2312" w:cs="仿宋_GB2312"/>
          <w:b/>
          <w:bCs/>
          <w:color w:val="FF0000"/>
          <w:sz w:val="32"/>
          <w:szCs w:val="32"/>
          <w:highlight w:val="yellow"/>
          <w:u w:val="single"/>
          <w:lang w:val="en-US" w:eastAsia="zh-CN"/>
        </w:rPr>
        <w:t>至少</w:t>
      </w:r>
      <w:r>
        <w:rPr>
          <w:rFonts w:hint="eastAsia" w:ascii="仿宋_GB2312" w:hAnsi="仿宋_GB2312" w:eastAsia="仿宋_GB2312" w:cs="仿宋_GB2312"/>
          <w:b/>
          <w:bCs/>
          <w:color w:val="FF0000"/>
          <w:sz w:val="32"/>
          <w:szCs w:val="32"/>
          <w:highlight w:val="yellow"/>
          <w:u w:val="single"/>
          <w:lang w:val="en-US" w:eastAsia="zh-CN"/>
        </w:rPr>
        <w:t>2</w:t>
      </w:r>
      <w:r>
        <w:rPr>
          <w:rFonts w:hint="default" w:ascii="仿宋_GB2312" w:hAnsi="仿宋_GB2312" w:eastAsia="仿宋_GB2312" w:cs="仿宋_GB2312"/>
          <w:b/>
          <w:bCs/>
          <w:color w:val="FF0000"/>
          <w:sz w:val="32"/>
          <w:szCs w:val="32"/>
          <w:highlight w:val="yellow"/>
          <w:u w:val="single"/>
          <w:lang w:val="en-US" w:eastAsia="zh-CN"/>
        </w:rPr>
        <w:t>年</w:t>
      </w:r>
      <w:r>
        <w:rPr>
          <w:rFonts w:hint="default" w:ascii="仿宋_GB2312" w:hAnsi="仿宋_GB2312" w:eastAsia="仿宋_GB2312" w:cs="仿宋_GB2312"/>
          <w:sz w:val="32"/>
          <w:szCs w:val="32"/>
          <w:highlight w:val="yellow"/>
          <w:lang w:val="en-US" w:eastAsia="zh-CN"/>
        </w:rPr>
        <w:t>的</w:t>
      </w:r>
      <w:r>
        <w:rPr>
          <w:rFonts w:hint="eastAsia" w:ascii="仿宋_GB2312" w:hAnsi="仿宋_GB2312" w:eastAsia="仿宋_GB2312" w:cs="仿宋_GB2312"/>
          <w:sz w:val="32"/>
          <w:szCs w:val="32"/>
          <w:highlight w:val="yellow"/>
          <w:lang w:val="en-US" w:eastAsia="zh-CN"/>
        </w:rPr>
        <w:t>免费</w:t>
      </w:r>
      <w:r>
        <w:rPr>
          <w:rFonts w:hint="default" w:ascii="仿宋_GB2312" w:hAnsi="仿宋_GB2312" w:eastAsia="仿宋_GB2312" w:cs="仿宋_GB2312"/>
          <w:sz w:val="32"/>
          <w:szCs w:val="32"/>
          <w:highlight w:val="yellow"/>
          <w:lang w:val="en-US" w:eastAsia="zh-CN"/>
        </w:rPr>
        <w:t>质保服务</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b w:val="0"/>
          <w:bCs/>
          <w:color w:val="000000"/>
          <w:sz w:val="32"/>
          <w:szCs w:val="32"/>
          <w:highlight w:val="yellow"/>
          <w:lang w:val="en-US" w:eastAsia="zh-CN"/>
        </w:rPr>
        <w:t>包含所有配件及附件。</w:t>
      </w:r>
      <w:r>
        <w:rPr>
          <w:rFonts w:hint="default" w:ascii="仿宋_GB2312" w:hAnsi="仿宋_GB2312" w:eastAsia="仿宋_GB2312" w:cs="仿宋_GB2312"/>
          <w:sz w:val="32"/>
          <w:szCs w:val="32"/>
          <w:lang w:val="en-US" w:eastAsia="zh-CN"/>
        </w:rPr>
        <w:t>（自采购人验收合格之日起计算）。质保期内出现质量问题，成交供应商负责包修、包退、包换，质保期内成交供应商及货物生产厂家须及时提供上门维修、更换非人为损坏零部件服务，所有质保费用均已包含在总</w:t>
      </w:r>
      <w:r>
        <w:rPr>
          <w:rFonts w:hint="eastAsia" w:ascii="仿宋_GB2312" w:hAnsi="仿宋_GB2312" w:eastAsia="仿宋_GB2312" w:cs="仿宋_GB2312"/>
          <w:sz w:val="32"/>
          <w:szCs w:val="32"/>
          <w:lang w:val="en-US" w:eastAsia="zh-CN"/>
        </w:rPr>
        <w:t>响应</w:t>
      </w:r>
      <w:r>
        <w:rPr>
          <w:rFonts w:hint="default" w:ascii="仿宋_GB2312" w:hAnsi="仿宋_GB2312" w:eastAsia="仿宋_GB2312" w:cs="仿宋_GB2312"/>
          <w:sz w:val="32"/>
          <w:szCs w:val="32"/>
          <w:lang w:val="en-US" w:eastAsia="zh-CN"/>
        </w:rPr>
        <w:t xml:space="preserve">价中。质保期结束后成交供应商应以不高于市场价格的向采购人提供备品备件。                                                        </w:t>
      </w:r>
    </w:p>
    <w:p w14:paraId="2991E468">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.2售后服务响应时间：如货物出现质量问题，成交供应商须</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小时内响应，电话响应无法解决，成交供应商必须在接报修电话24小时内到达现场并解决问题。如不能解决的，成交供应商需提供备品备件供采购人使用。质保期内如货物出现质量问题，成交供应商负责修复，对于无法修复的情况，成交供应商负责免费更换。</w:t>
      </w:r>
    </w:p>
    <w:p w14:paraId="77CFC1C1">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验收：</w:t>
      </w:r>
    </w:p>
    <w:p w14:paraId="21956E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6.1成交供应商</w:t>
      </w:r>
      <w:r>
        <w:rPr>
          <w:rFonts w:hint="eastAsia" w:ascii="仿宋_GB2312" w:hAnsi="仿宋_GB2312" w:eastAsia="仿宋_GB2312" w:cs="仿宋_GB2312"/>
          <w:kern w:val="2"/>
          <w:sz w:val="32"/>
          <w:szCs w:val="32"/>
          <w:lang w:val="en-US" w:eastAsia="zh-CN" w:bidi="ar-SA"/>
        </w:rPr>
        <w:t>和相关部门按照招标文件和响应文件承诺进行验收。验收中发现的问题，成交供应商需无条件及时整改，直至符合要求。成交供应商应向采购人提供安装调试过程中的各种文档资料,以便采购人今后能掌握操作和维护方法。</w:t>
      </w:r>
    </w:p>
    <w:p w14:paraId="1C5971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w:t>
      </w:r>
      <w:r>
        <w:rPr>
          <w:rFonts w:hint="eastAsia" w:ascii="仿宋_GB2312" w:hAnsi="仿宋_GB2312" w:eastAsia="仿宋_GB2312" w:cs="仿宋_GB2312"/>
          <w:kern w:val="2"/>
          <w:sz w:val="32"/>
          <w:szCs w:val="32"/>
          <w:lang w:val="en-US" w:eastAsia="zh-CN" w:bidi="ar-SA"/>
        </w:rPr>
        <w:t>合同签订后，成交供应商需与采购人确定货物款式尺寸、材质，确认后方可批量供货，否则采购人不予验收。</w:t>
      </w:r>
    </w:p>
    <w:p w14:paraId="06BB898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供</w:t>
      </w:r>
      <w:r>
        <w:rPr>
          <w:rFonts w:hint="default" w:ascii="仿宋_GB2312" w:hAnsi="仿宋_GB2312" w:eastAsia="仿宋_GB2312" w:cs="仿宋_GB2312"/>
          <w:kern w:val="2"/>
          <w:sz w:val="32"/>
          <w:szCs w:val="32"/>
          <w:lang w:val="en-US" w:eastAsia="zh-CN" w:bidi="ar-SA"/>
        </w:rPr>
        <w:t>货期：</w:t>
      </w:r>
      <w:r>
        <w:rPr>
          <w:rFonts w:hint="eastAsia" w:ascii="仿宋_GB2312" w:hAnsi="仿宋_GB2312" w:eastAsia="仿宋_GB2312" w:cs="仿宋_GB2312"/>
          <w:kern w:val="2"/>
          <w:sz w:val="32"/>
          <w:szCs w:val="32"/>
          <w:lang w:val="en-US" w:eastAsia="zh-CN" w:bidi="ar-SA"/>
        </w:rPr>
        <w:t>合同签订后30日内完成供货、安装、调试、联动测试、清理退场。</w:t>
      </w:r>
    </w:p>
    <w:p w14:paraId="3A526908">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FF0000"/>
          <w:sz w:val="32"/>
          <w:szCs w:val="32"/>
          <w:highlight w:val="none"/>
          <w:lang w:val="en-US" w:eastAsia="zh-CN"/>
        </w:rPr>
      </w:pPr>
      <w:r>
        <w:rPr>
          <w:rFonts w:hint="eastAsia" w:ascii="仿宋_GB2312" w:hAnsi="仿宋_GB2312" w:eastAsia="仿宋_GB2312" w:cs="仿宋_GB2312"/>
          <w:b/>
          <w:bCs/>
          <w:color w:val="FF0000"/>
          <w:kern w:val="2"/>
          <w:sz w:val="32"/>
          <w:szCs w:val="32"/>
          <w:lang w:val="en-US" w:eastAsia="zh-CN" w:bidi="ar-SA"/>
        </w:rPr>
        <w:t>注：供应商供货时须提供产品合格证、出厂检验报告、第三方检验报告；联动系统须提供消防联动检测合格报告。</w:t>
      </w:r>
    </w:p>
    <w:p w14:paraId="26449A4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供</w:t>
      </w:r>
      <w:r>
        <w:rPr>
          <w:rFonts w:hint="default" w:ascii="仿宋_GB2312" w:hAnsi="仿宋_GB2312" w:eastAsia="仿宋_GB2312" w:cs="仿宋_GB2312"/>
          <w:kern w:val="2"/>
          <w:sz w:val="32"/>
          <w:szCs w:val="32"/>
          <w:lang w:val="en-US" w:eastAsia="zh-CN" w:bidi="ar-SA"/>
        </w:rPr>
        <w:t>货地点：马鞍山市（采购人指定地点）。</w:t>
      </w:r>
    </w:p>
    <w:p w14:paraId="4C30C9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default" w:ascii="仿宋_GB2312" w:hAnsi="仿宋_GB2312" w:eastAsia="仿宋_GB2312" w:cs="仿宋_GB2312"/>
          <w:kern w:val="2"/>
          <w:sz w:val="32"/>
          <w:szCs w:val="32"/>
          <w:lang w:val="en-US" w:eastAsia="zh-CN" w:bidi="ar-SA"/>
        </w:rPr>
        <w:t>、培训：成交供应商应对采购人的操作人员提供现场培训。</w:t>
      </w:r>
    </w:p>
    <w:p w14:paraId="569A37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default" w:ascii="仿宋_GB2312" w:hAnsi="仿宋_GB2312" w:eastAsia="仿宋_GB2312" w:cs="仿宋_GB2312"/>
          <w:kern w:val="2"/>
          <w:sz w:val="32"/>
          <w:szCs w:val="32"/>
          <w:lang w:val="en-US" w:eastAsia="zh-CN" w:bidi="ar-SA"/>
        </w:rPr>
        <w:t>.1现场培训能够根据用户需要，合理安排，使用户能够全面掌握设备的工作原理，熟练独立操作设备，并能够对设备进行日常维护与保养，简单故障诊断与排除。</w:t>
      </w:r>
    </w:p>
    <w:p w14:paraId="5BDD8C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default" w:ascii="仿宋_GB2312" w:hAnsi="仿宋_GB2312" w:eastAsia="仿宋_GB2312" w:cs="仿宋_GB2312"/>
          <w:kern w:val="2"/>
          <w:sz w:val="32"/>
          <w:szCs w:val="32"/>
          <w:lang w:val="en-US" w:eastAsia="zh-CN" w:bidi="ar-SA"/>
        </w:rPr>
        <w:t>.2以上培训费用含在总</w:t>
      </w:r>
      <w:r>
        <w:rPr>
          <w:rFonts w:hint="eastAsia" w:ascii="仿宋_GB2312" w:hAnsi="仿宋_GB2312" w:eastAsia="仿宋_GB2312" w:cs="仿宋_GB2312"/>
          <w:kern w:val="2"/>
          <w:sz w:val="32"/>
          <w:szCs w:val="32"/>
          <w:lang w:val="en-US" w:eastAsia="zh-CN" w:bidi="ar-SA"/>
        </w:rPr>
        <w:t>报价</w:t>
      </w:r>
      <w:r>
        <w:rPr>
          <w:rFonts w:hint="default" w:ascii="仿宋_GB2312" w:hAnsi="仿宋_GB2312" w:eastAsia="仿宋_GB2312" w:cs="仿宋_GB2312"/>
          <w:kern w:val="2"/>
          <w:sz w:val="32"/>
          <w:szCs w:val="32"/>
          <w:lang w:val="en-US" w:eastAsia="zh-CN" w:bidi="ar-SA"/>
        </w:rPr>
        <w:t>中。</w:t>
      </w:r>
    </w:p>
    <w:p w14:paraId="1B4E28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highlight w:val="none"/>
          <w:lang w:val="en-US" w:eastAsia="zh-CN"/>
        </w:rPr>
      </w:pPr>
      <w:r>
        <w:rPr>
          <w:rFonts w:hint="eastAsia" w:ascii="仿宋_GB2312" w:hAnsi="仿宋_GB2312" w:eastAsia="仿宋_GB2312" w:cs="仿宋_GB2312"/>
          <w:kern w:val="2"/>
          <w:sz w:val="32"/>
          <w:szCs w:val="32"/>
          <w:lang w:val="en-US" w:eastAsia="zh-CN" w:bidi="ar-SA"/>
        </w:rPr>
        <w:t>10、</w:t>
      </w:r>
      <w:r>
        <w:rPr>
          <w:rFonts w:hint="default" w:ascii="仿宋_GB2312" w:hAnsi="仿宋_GB2312" w:eastAsia="仿宋_GB2312" w:cs="仿宋_GB2312"/>
          <w:kern w:val="2"/>
          <w:sz w:val="32"/>
          <w:szCs w:val="32"/>
          <w:lang w:val="en-US" w:eastAsia="zh-CN" w:bidi="ar-SA"/>
        </w:rPr>
        <w:t>付款方式：</w:t>
      </w:r>
      <w:r>
        <w:rPr>
          <w:rFonts w:hint="eastAsia" w:ascii="Times New Roman" w:hAnsi="Times New Roman" w:eastAsia="仿宋" w:cs="Times New Roman"/>
          <w:color w:val="auto"/>
          <w:sz w:val="32"/>
          <w:highlight w:val="none"/>
          <w:lang w:val="en-US" w:eastAsia="zh-CN"/>
        </w:rPr>
        <w:t>安装完成并提供合格检测报告后3个月支付货款，</w:t>
      </w:r>
      <w:r>
        <w:rPr>
          <w:rFonts w:hint="default" w:ascii="Times New Roman" w:hAnsi="Times New Roman" w:eastAsia="仿宋" w:cs="Times New Roman"/>
          <w:color w:val="auto"/>
          <w:sz w:val="32"/>
          <w:highlight w:val="none"/>
          <w:lang w:val="en-US" w:eastAsia="zh-CN"/>
        </w:rPr>
        <w:t>本项目最终的采购数量以</w:t>
      </w:r>
      <w:r>
        <w:rPr>
          <w:rFonts w:hint="eastAsia" w:ascii="Times New Roman" w:hAnsi="Times New Roman" w:eastAsia="仿宋" w:cs="Times New Roman"/>
          <w:color w:val="auto"/>
          <w:sz w:val="32"/>
          <w:highlight w:val="none"/>
          <w:lang w:val="en-US" w:eastAsia="zh-CN"/>
        </w:rPr>
        <w:t>采购人</w:t>
      </w:r>
      <w:r>
        <w:rPr>
          <w:rFonts w:hint="default" w:ascii="Times New Roman" w:hAnsi="Times New Roman" w:eastAsia="仿宋" w:cs="Times New Roman"/>
          <w:color w:val="auto"/>
          <w:sz w:val="32"/>
          <w:highlight w:val="none"/>
          <w:lang w:val="en-US" w:eastAsia="zh-CN"/>
        </w:rPr>
        <w:t>实际需求为准</w:t>
      </w:r>
      <w:r>
        <w:rPr>
          <w:rFonts w:hint="eastAsia" w:ascii="Times New Roman" w:hAnsi="Times New Roman" w:eastAsia="仿宋" w:cs="Times New Roman"/>
          <w:color w:val="auto"/>
          <w:sz w:val="32"/>
          <w:highlight w:val="none"/>
          <w:lang w:val="en-US" w:eastAsia="zh-CN"/>
        </w:rPr>
        <w:t>，</w:t>
      </w:r>
      <w:r>
        <w:rPr>
          <w:rFonts w:hint="default" w:ascii="Times New Roman" w:hAnsi="Times New Roman" w:eastAsia="仿宋" w:cs="Times New Roman"/>
          <w:color w:val="auto"/>
          <w:sz w:val="32"/>
          <w:highlight w:val="none"/>
          <w:lang w:val="en-US" w:eastAsia="zh-CN"/>
        </w:rPr>
        <w:t>实际结算金额=所报单价×实际发生量。</w:t>
      </w:r>
    </w:p>
    <w:p w14:paraId="3E6BD0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.本项目总</w:t>
      </w:r>
      <w:r>
        <w:rPr>
          <w:rFonts w:hint="eastAsia" w:ascii="仿宋_GB2312" w:hAnsi="仿宋_GB2312" w:eastAsia="仿宋_GB2312" w:cs="仿宋_GB2312"/>
          <w:kern w:val="2"/>
          <w:sz w:val="32"/>
          <w:szCs w:val="32"/>
          <w:lang w:val="en-US" w:eastAsia="zh-CN" w:bidi="ar-SA"/>
        </w:rPr>
        <w:t>响应</w:t>
      </w:r>
      <w:r>
        <w:rPr>
          <w:rFonts w:hint="default" w:ascii="仿宋_GB2312" w:hAnsi="仿宋_GB2312" w:eastAsia="仿宋_GB2312" w:cs="仿宋_GB2312"/>
          <w:kern w:val="2"/>
          <w:sz w:val="32"/>
          <w:szCs w:val="32"/>
          <w:lang w:val="en-US" w:eastAsia="zh-CN" w:bidi="ar-SA"/>
        </w:rPr>
        <w:t>价包含履行本项目的全部费用及所有价内价外税金及合理利润等，不再产生任何二次费用。</w:t>
      </w:r>
    </w:p>
    <w:p w14:paraId="49184C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kern w:val="2"/>
          <w:sz w:val="32"/>
          <w:szCs w:val="32"/>
          <w:highlight w:val="yellow"/>
          <w:lang w:val="en-US" w:eastAsia="zh-CN" w:bidi="ar-SA"/>
        </w:rPr>
        <w:t>12.</w:t>
      </w:r>
      <w:r>
        <w:rPr>
          <w:rFonts w:hint="eastAsia" w:ascii="仿宋_GB2312" w:hAnsi="仿宋_GB2312" w:eastAsia="仿宋_GB2312" w:cs="仿宋_GB2312"/>
          <w:b/>
          <w:bCs/>
          <w:sz w:val="32"/>
          <w:szCs w:val="32"/>
          <w:highlight w:val="yellow"/>
          <w:lang w:val="en-US" w:eastAsia="zh-CN"/>
        </w:rPr>
        <w:t>样品要求：</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837"/>
        <w:gridCol w:w="2194"/>
        <w:gridCol w:w="1538"/>
        <w:gridCol w:w="2151"/>
      </w:tblGrid>
      <w:tr w14:paraId="78A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02" w:type="dxa"/>
            <w:vAlign w:val="center"/>
          </w:tcPr>
          <w:p w14:paraId="24222C2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序号</w:t>
            </w:r>
          </w:p>
        </w:tc>
        <w:tc>
          <w:tcPr>
            <w:tcW w:w="1837" w:type="dxa"/>
            <w:vAlign w:val="center"/>
          </w:tcPr>
          <w:p w14:paraId="080A311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样品名称</w:t>
            </w:r>
          </w:p>
        </w:tc>
        <w:tc>
          <w:tcPr>
            <w:tcW w:w="2194" w:type="dxa"/>
            <w:vAlign w:val="center"/>
          </w:tcPr>
          <w:p w14:paraId="6D0E298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规格型号</w:t>
            </w:r>
          </w:p>
        </w:tc>
        <w:tc>
          <w:tcPr>
            <w:tcW w:w="1538" w:type="dxa"/>
            <w:vAlign w:val="center"/>
          </w:tcPr>
          <w:p w14:paraId="62D5558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数量/单位</w:t>
            </w:r>
          </w:p>
        </w:tc>
        <w:tc>
          <w:tcPr>
            <w:tcW w:w="2151" w:type="dxa"/>
            <w:vAlign w:val="center"/>
          </w:tcPr>
          <w:p w14:paraId="2A5F3ED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备注</w:t>
            </w:r>
          </w:p>
        </w:tc>
      </w:tr>
      <w:tr w14:paraId="1071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dxa"/>
            <w:vAlign w:val="center"/>
          </w:tcPr>
          <w:p w14:paraId="3430B1B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1</w:t>
            </w:r>
          </w:p>
        </w:tc>
        <w:tc>
          <w:tcPr>
            <w:tcW w:w="1837" w:type="dxa"/>
            <w:vAlign w:val="center"/>
          </w:tcPr>
          <w:p w14:paraId="5B6FB2F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sz w:val="28"/>
                <w:szCs w:val="28"/>
                <w:highlight w:val="none"/>
                <w:lang w:val="en-US" w:eastAsia="zh-CN"/>
              </w:rPr>
              <w:t>钢制防火门门扇小样</w:t>
            </w:r>
          </w:p>
        </w:tc>
        <w:tc>
          <w:tcPr>
            <w:tcW w:w="2194" w:type="dxa"/>
            <w:vAlign w:val="center"/>
          </w:tcPr>
          <w:p w14:paraId="4892AE3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sz w:val="28"/>
                <w:szCs w:val="28"/>
                <w:highlight w:val="none"/>
                <w:lang w:val="en-US" w:eastAsia="zh-CN"/>
              </w:rPr>
              <w:t>≥200mm×200mm</w:t>
            </w:r>
          </w:p>
        </w:tc>
        <w:tc>
          <w:tcPr>
            <w:tcW w:w="1538" w:type="dxa"/>
            <w:vAlign w:val="center"/>
          </w:tcPr>
          <w:p w14:paraId="1160863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1份</w:t>
            </w:r>
          </w:p>
        </w:tc>
        <w:tc>
          <w:tcPr>
            <w:tcW w:w="2151" w:type="dxa"/>
            <w:vAlign w:val="center"/>
          </w:tcPr>
          <w:p w14:paraId="2D7D273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sz w:val="28"/>
                <w:szCs w:val="28"/>
                <w:highlight w:val="none"/>
                <w:lang w:val="en-US" w:eastAsia="zh-CN"/>
              </w:rPr>
              <w:t>标注门框/门扇厚度、填充材料</w:t>
            </w:r>
          </w:p>
        </w:tc>
      </w:tr>
      <w:tr w14:paraId="7D89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dxa"/>
            <w:vAlign w:val="center"/>
          </w:tcPr>
          <w:p w14:paraId="6D6A53A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2</w:t>
            </w:r>
          </w:p>
        </w:tc>
        <w:tc>
          <w:tcPr>
            <w:tcW w:w="1837" w:type="dxa"/>
            <w:vAlign w:val="center"/>
          </w:tcPr>
          <w:p w14:paraId="4B5FFF7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sz w:val="28"/>
                <w:szCs w:val="28"/>
                <w:highlight w:val="none"/>
                <w:lang w:val="en-US" w:eastAsia="zh-CN"/>
              </w:rPr>
              <w:t>配套闭门器</w:t>
            </w:r>
          </w:p>
        </w:tc>
        <w:tc>
          <w:tcPr>
            <w:tcW w:w="2194" w:type="dxa"/>
            <w:vAlign w:val="center"/>
          </w:tcPr>
          <w:p w14:paraId="6FA3FB7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w:t>
            </w:r>
          </w:p>
        </w:tc>
        <w:tc>
          <w:tcPr>
            <w:tcW w:w="1538" w:type="dxa"/>
            <w:vAlign w:val="center"/>
          </w:tcPr>
          <w:p w14:paraId="4D5C94F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sz w:val="28"/>
                <w:szCs w:val="28"/>
                <w:highlight w:val="none"/>
                <w:lang w:val="en-US" w:eastAsia="zh-CN"/>
              </w:rPr>
              <w:t>1套</w:t>
            </w:r>
          </w:p>
        </w:tc>
        <w:tc>
          <w:tcPr>
            <w:tcW w:w="2151" w:type="dxa"/>
            <w:vAlign w:val="center"/>
          </w:tcPr>
          <w:p w14:paraId="5DE7572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p>
        </w:tc>
      </w:tr>
      <w:tr w14:paraId="41C7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dxa"/>
            <w:vAlign w:val="center"/>
          </w:tcPr>
          <w:p w14:paraId="1C65581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3</w:t>
            </w:r>
          </w:p>
        </w:tc>
        <w:tc>
          <w:tcPr>
            <w:tcW w:w="1837" w:type="dxa"/>
            <w:vAlign w:val="center"/>
          </w:tcPr>
          <w:p w14:paraId="1D03BC5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sz w:val="28"/>
                <w:szCs w:val="28"/>
                <w:highlight w:val="none"/>
                <w:lang w:val="en-US" w:eastAsia="zh-CN"/>
              </w:rPr>
              <w:t>防火五金件</w:t>
            </w:r>
          </w:p>
        </w:tc>
        <w:tc>
          <w:tcPr>
            <w:tcW w:w="2194" w:type="dxa"/>
            <w:vAlign w:val="center"/>
          </w:tcPr>
          <w:p w14:paraId="76525CD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w:t>
            </w:r>
          </w:p>
        </w:tc>
        <w:tc>
          <w:tcPr>
            <w:tcW w:w="1538" w:type="dxa"/>
            <w:vAlign w:val="center"/>
          </w:tcPr>
          <w:p w14:paraId="22A34BE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sz w:val="28"/>
                <w:szCs w:val="28"/>
                <w:highlight w:val="none"/>
                <w:lang w:val="en-US" w:eastAsia="zh-CN"/>
              </w:rPr>
              <w:t>1套</w:t>
            </w:r>
          </w:p>
        </w:tc>
        <w:tc>
          <w:tcPr>
            <w:tcW w:w="2151" w:type="dxa"/>
            <w:vAlign w:val="center"/>
          </w:tcPr>
          <w:p w14:paraId="2842F2D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bCs/>
                <w:kern w:val="2"/>
                <w:sz w:val="28"/>
                <w:szCs w:val="28"/>
                <w:highlight w:val="none"/>
                <w:vertAlign w:val="baseline"/>
                <w:lang w:val="en-US" w:eastAsia="zh-CN" w:bidi="ar-SA"/>
              </w:rPr>
            </w:pPr>
          </w:p>
        </w:tc>
      </w:tr>
    </w:tbl>
    <w:p w14:paraId="305CE7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kern w:val="2"/>
          <w:sz w:val="32"/>
          <w:szCs w:val="32"/>
          <w:highlight w:val="none"/>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D84CA380-D64A-464E-9D38-E6A6B2CAFEEB}"/>
  </w:font>
  <w:font w:name="仿宋">
    <w:panose1 w:val="02010609060101010101"/>
    <w:charset w:val="86"/>
    <w:family w:val="auto"/>
    <w:pitch w:val="default"/>
    <w:sig w:usb0="800002BF" w:usb1="38CF7CFA" w:usb2="00000016" w:usb3="00000000" w:csb0="00040001" w:csb1="00000000"/>
    <w:embedRegular r:id="rId2" w:fontKey="{41951D4F-2820-401C-9AEA-285BA63D85C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5E002"/>
    <w:multiLevelType w:val="singleLevel"/>
    <w:tmpl w:val="0A45E002"/>
    <w:lvl w:ilvl="0" w:tentative="0">
      <w:start w:val="1"/>
      <w:numFmt w:val="decimal"/>
      <w:suff w:val="nothing"/>
      <w:lvlText w:val="%1、"/>
      <w:lvlJc w:val="left"/>
    </w:lvl>
  </w:abstractNum>
  <w:abstractNum w:abstractNumId="1">
    <w:nsid w:val="34378004"/>
    <w:multiLevelType w:val="singleLevel"/>
    <w:tmpl w:val="34378004"/>
    <w:lvl w:ilvl="0" w:tentative="0">
      <w:start w:val="2"/>
      <w:numFmt w:val="chineseCounting"/>
      <w:suff w:val="nothing"/>
      <w:lvlText w:val="（%1）"/>
      <w:lvlJc w:val="left"/>
      <w:rPr>
        <w:rFonts w:hint="eastAsia"/>
      </w:rPr>
    </w:lvl>
  </w:abstractNum>
  <w:abstractNum w:abstractNumId="2">
    <w:nsid w:val="537AEFC3"/>
    <w:multiLevelType w:val="singleLevel"/>
    <w:tmpl w:val="537AEFC3"/>
    <w:lvl w:ilvl="0" w:tentative="0">
      <w:start w:val="7"/>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75D1E8C"/>
    <w:rsid w:val="0BCD4F5D"/>
    <w:rsid w:val="0C831895"/>
    <w:rsid w:val="1480586B"/>
    <w:rsid w:val="19ED1940"/>
    <w:rsid w:val="1B096E5A"/>
    <w:rsid w:val="1E694398"/>
    <w:rsid w:val="22BC150E"/>
    <w:rsid w:val="28597DF9"/>
    <w:rsid w:val="2A471FEB"/>
    <w:rsid w:val="2E812545"/>
    <w:rsid w:val="33084527"/>
    <w:rsid w:val="3FC945CA"/>
    <w:rsid w:val="421A00E8"/>
    <w:rsid w:val="4CC7027B"/>
    <w:rsid w:val="506C1D3E"/>
    <w:rsid w:val="510026A9"/>
    <w:rsid w:val="51951749"/>
    <w:rsid w:val="53ED5526"/>
    <w:rsid w:val="55B61960"/>
    <w:rsid w:val="62792788"/>
    <w:rsid w:val="66897AA4"/>
    <w:rsid w:val="66F66060"/>
    <w:rsid w:val="674C1658"/>
    <w:rsid w:val="6BB97277"/>
    <w:rsid w:val="6DFC53AE"/>
    <w:rsid w:val="6F5C0FF6"/>
    <w:rsid w:val="70661AF5"/>
    <w:rsid w:val="78381BD3"/>
    <w:rsid w:val="79A20C2B"/>
    <w:rsid w:val="79B00B75"/>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cs="黑体"/>
      <w:b/>
      <w:sz w:val="32"/>
      <w:szCs w:val="22"/>
    </w:rPr>
  </w:style>
  <w:style w:type="paragraph" w:styleId="4">
    <w:name w:val="footer"/>
    <w:basedOn w:val="1"/>
    <w:qFormat/>
    <w:uiPriority w:val="0"/>
    <w:pPr>
      <w:tabs>
        <w:tab w:val="center" w:pos="4153"/>
        <w:tab w:val="right" w:pos="8306"/>
      </w:tabs>
      <w:snapToGrid w:val="0"/>
      <w:jc w:val="left"/>
    </w:pPr>
    <w:rPr>
      <w:sz w:val="18"/>
      <w:lang w:bidi="he-IL"/>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0"/>
    <w:pPr>
      <w:spacing w:before="240" w:after="60"/>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basedOn w:val="1"/>
    <w:qFormat/>
    <w:uiPriority w:val="0"/>
    <w:pPr>
      <w:ind w:firstLine="420" w:firstLineChars="200"/>
    </w:pPr>
  </w:style>
  <w:style w:type="character" w:customStyle="1" w:styleId="11">
    <w:name w:val="标题 Char"/>
    <w:link w:val="6"/>
    <w:qFormat/>
    <w:uiPriority w:val="0"/>
    <w:rPr>
      <w:rFonts w:ascii="Cambria" w:hAnsi="Cambria"/>
      <w:b/>
      <w:bCs/>
      <w:sz w:val="32"/>
      <w:szCs w:val="32"/>
    </w:rPr>
  </w:style>
  <w:style w:type="character" w:customStyle="1" w:styleId="12">
    <w:name w:val="font0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ascii="Arial" w:hAnsi="Arial" w:cs="Arial"/>
      <w:color w:val="000000"/>
      <w:sz w:val="20"/>
      <w:szCs w:val="20"/>
      <w:u w:val="none"/>
    </w:rPr>
  </w:style>
  <w:style w:type="character" w:customStyle="1" w:styleId="14">
    <w:name w:val="font11"/>
    <w:basedOn w:val="9"/>
    <w:qFormat/>
    <w:uiPriority w:val="0"/>
    <w:rPr>
      <w:rFonts w:hint="eastAsia" w:ascii="宋体" w:hAnsi="宋体" w:eastAsia="宋体" w:cs="宋体"/>
      <w:color w:val="000000"/>
      <w:sz w:val="18"/>
      <w:szCs w:val="18"/>
      <w:u w:val="none"/>
    </w:rPr>
  </w:style>
  <w:style w:type="character" w:customStyle="1" w:styleId="15">
    <w:name w:val="font31"/>
    <w:basedOn w:val="9"/>
    <w:qFormat/>
    <w:uiPriority w:val="0"/>
    <w:rPr>
      <w:rFonts w:hint="default" w:ascii="Arial" w:hAnsi="Arial" w:cs="Arial"/>
      <w:color w:val="000000"/>
      <w:sz w:val="18"/>
      <w:szCs w:val="18"/>
      <w:u w:val="none"/>
    </w:rPr>
  </w:style>
  <w:style w:type="paragraph" w:customStyle="1" w:styleId="1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2816</Words>
  <Characters>3251</Characters>
  <Lines>0</Lines>
  <Paragraphs>0</Paragraphs>
  <TotalTime>6</TotalTime>
  <ScaleCrop>false</ScaleCrop>
  <LinksUpToDate>false</LinksUpToDate>
  <CharactersWithSpaces>3359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2026-06-11T09:55:15Z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