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CF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马鞍山市中医院血透室水处理维保要求</w:t>
      </w:r>
    </w:p>
    <w:p w14:paraId="5B0B72AE">
      <w:pPr>
        <w:rPr>
          <w:rFonts w:hint="eastAsia"/>
          <w:sz w:val="28"/>
          <w:szCs w:val="28"/>
          <w:lang w:val="en-US" w:eastAsia="zh-CN"/>
        </w:rPr>
      </w:pPr>
    </w:p>
    <w:p w14:paraId="7E8CB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一、基本要求</w:t>
      </w:r>
    </w:p>
    <w:p w14:paraId="1A7318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肾病科血透室血液透析用制水设备（武汉启诚ME4-2000）全保服务，包含水处理系统及配套管路等所有相关配件及耗材。</w:t>
      </w:r>
    </w:p>
    <w:p w14:paraId="76F424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同服务时间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：服务期3年。</w:t>
      </w:r>
    </w:p>
    <w:p w14:paraId="737C62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不限次数人工服务，不限次数故障监测，不限次数维修，维修所使用配件均为全新配件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62D27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有巡查记录，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提供相应巡检记录表</w:t>
      </w:r>
    </w:p>
    <w:p w14:paraId="3377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定期巡检服务：对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血透室</w:t>
      </w:r>
      <w:r>
        <w:rPr>
          <w:rFonts w:hint="eastAsia" w:ascii="仿宋_GB2312" w:hAnsi="仿宋_GB2312" w:eastAsia="仿宋_GB2312" w:cs="仿宋_GB2312"/>
          <w:sz w:val="32"/>
          <w:szCs w:val="32"/>
        </w:rPr>
        <w:t>水处理设备使用状况保证每3个月巡检一次，并对设备进行系统性的检测。检测项目包含：系统运行压力、预处理出水总氯与硬度、反渗透膜性能、纯水产水量、纯水电导率、过滤器运行状态等，提供总氯和硬度检测试剂，并出具相应巡检记录表。</w:t>
      </w:r>
    </w:p>
    <w:p w14:paraId="63C95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3个月一次的定期消毒服务：中标企业负责水处理设备的消毒清洗工作，血透水处理设备每3个月进行消毒清洗一次（消毒液由中标公司提供）。每次消毒出具相应消毒记录表格并由工程师填写数据，由院方签字确认。</w:t>
      </w:r>
    </w:p>
    <w:p w14:paraId="08A3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、水处理设备的系统硬件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维护服务：在服务期间内，水处理设备出现任何硬件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故障导致需要更换的，由中标企业安排维修人员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带配件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上门更换。</w:t>
      </w:r>
    </w:p>
    <w:p w14:paraId="791C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、提供化学污染物抽样、检测服务：中标企业负责每年对血透水处理设备进行一次化学污染物抽样、检测服务，并出具第三方权威检测报告。提供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服务期内所需</w:t>
      </w:r>
      <w:r>
        <w:rPr>
          <w:rFonts w:hint="eastAsia" w:ascii="仿宋_GB2312" w:hAnsi="仿宋_GB2312" w:eastAsia="仿宋_GB2312" w:cs="仿宋_GB2312"/>
          <w:sz w:val="32"/>
          <w:szCs w:val="32"/>
        </w:rPr>
        <w:t>硬度检测试剂、总氯快速检测试剂、过氧乙酸检测试纸、总氯检测试剂。</w:t>
      </w:r>
    </w:p>
    <w:p w14:paraId="262C4DE5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7、必须保证水质状况满足国家血液透析用水标准，保证水处理系统及管路工作正常，满足临床治疗需求。</w:t>
      </w:r>
    </w:p>
    <w:p w14:paraId="0A1E0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二、材料要求</w:t>
      </w:r>
    </w:p>
    <w:p w14:paraId="6389F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 严格按照生产厂家要求周期更换耗材：</w:t>
      </w:r>
    </w:p>
    <w:p w14:paraId="021C8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1、保安过滤器滤芯：3个月更换一次；</w:t>
      </w:r>
    </w:p>
    <w:p w14:paraId="1003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2、活性炭：3年更换2次；</w:t>
      </w:r>
    </w:p>
    <w:p w14:paraId="3AF1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3、树脂：3年更换1次；</w:t>
      </w:r>
    </w:p>
    <w:p w14:paraId="6C5D1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4、石英沙：3年更换1次；</w:t>
      </w:r>
    </w:p>
    <w:p w14:paraId="7B63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5、反渗膜：3年更换1次：</w:t>
      </w:r>
    </w:p>
    <w:p w14:paraId="0CFF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（二）材料要求</w:t>
      </w:r>
    </w:p>
    <w:p w14:paraId="39C1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1、活性炭滤料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：采用专用椰壳活性碳，碘值至少大于900以上，提供检测报告。</w:t>
      </w:r>
    </w:p>
    <w:p w14:paraId="27B89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2、树脂滤料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：漂莱特C100E强酸性阳离子交换树脂，提供检测报告。</w:t>
      </w:r>
    </w:p>
    <w:p w14:paraId="3FC6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3、反渗透膜组：美国陶氏原装进口 8040 BW30HRLE-440或海德能。</w:t>
      </w:r>
    </w:p>
    <w:p w14:paraId="15DE4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三、服务要求</w:t>
      </w:r>
    </w:p>
    <w:p w14:paraId="61C2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具有医疗设备维修企业资格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具有履行合同必需的设备和专业技术能力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营业执照须经年检有效。</w:t>
      </w:r>
    </w:p>
    <w:p w14:paraId="78400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、投标人具有技术支持团队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3人;工程师具备设备培训证书，提供工程师名单、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社保缴纳证明、培训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证书复印件等证明文件。</w:t>
      </w:r>
    </w:p>
    <w:p w14:paraId="3BD8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、在接到报修电话后，提供突发性问题的解决措施及特殊紧急的合理化处理措施;响应时间为全年365天，响应时间&lt;30分钟，到达现场时间&lt;6小时。</w:t>
      </w:r>
    </w:p>
    <w:p w14:paraId="59A86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、提供相关证明文件，并且提供耗材的完整手续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检测合格证明、合格证或</w:t>
      </w:r>
      <w:r>
        <w:rPr>
          <w:rFonts w:hint="eastAsia" w:ascii="仿宋_GB2312" w:hAnsi="仿宋_GB2312" w:eastAsia="仿宋_GB2312" w:cs="仿宋_GB2312"/>
          <w:sz w:val="32"/>
          <w:szCs w:val="32"/>
        </w:rPr>
        <w:t>进口报关单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商检报告复印件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6A2640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5、考核办法</w:t>
      </w:r>
    </w:p>
    <w:p w14:paraId="2A9DA8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48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 考核组织：医院成立考核管理小组，由水处理使用科室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肾病科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科组织考核小组对中标方服务质量进行全面考核管理。</w:t>
      </w:r>
    </w:p>
    <w:p w14:paraId="1625A6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48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5.2考核方法：每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考核一次，考核满分为100分，80分为合格分。考核小组成员现场检查打分，满分100分。</w:t>
      </w:r>
    </w:p>
    <w:p w14:paraId="639B3B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48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5.3具体考核内容：</w:t>
      </w:r>
    </w:p>
    <w:p w14:paraId="3614D2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48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5.3.1一票否决项：中标方需在合同生效后第1年度30日内检测、检修设备，更换老化配件和耗材，保证水质状况满足国家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用水标准。此项做不到为一票否决，可直接解除合同。</w:t>
      </w:r>
    </w:p>
    <w:p w14:paraId="29690A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48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5.3.2每次考核80分为合格（含80分），低于80分，每下降一分扣本年度维保费的1%，依次类推。（考核标准由医院制定）</w:t>
      </w:r>
    </w:p>
    <w:p w14:paraId="2ADEC4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48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5.3.3单项处罚：中标方因安全生产检查等原因被医院通报批评，根据情节处以1000-2000元扣款，不能及时整改根据情节处以100-500元扣款。</w:t>
      </w:r>
    </w:p>
    <w:p w14:paraId="498E209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48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5.3.4中标方因维保质量发生安全事故造成设备设施损坏，按照设备实价赔偿并解除合同。</w:t>
      </w:r>
    </w:p>
    <w:p w14:paraId="60786A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48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5.3.5考核表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（服务履行过程中持续修订）</w:t>
      </w:r>
    </w:p>
    <w:p w14:paraId="527E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tbl>
      <w:tblPr>
        <w:tblStyle w:val="6"/>
        <w:tblW w:w="9640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7"/>
        <w:gridCol w:w="3639"/>
        <w:gridCol w:w="661"/>
        <w:gridCol w:w="3227"/>
        <w:gridCol w:w="1276"/>
      </w:tblGrid>
      <w:tr w14:paraId="358BB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640" w:type="dxa"/>
            <w:gridSpan w:val="5"/>
            <w:noWrap w:val="0"/>
            <w:vAlign w:val="center"/>
          </w:tcPr>
          <w:p w14:paraId="5372821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中医院血透室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水处理维保考评表</w:t>
            </w:r>
          </w:p>
        </w:tc>
      </w:tr>
      <w:tr w14:paraId="54374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476" w:type="dxa"/>
            <w:gridSpan w:val="2"/>
            <w:noWrap w:val="0"/>
            <w:vAlign w:val="center"/>
          </w:tcPr>
          <w:p w14:paraId="4682507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考评科室：</w:t>
            </w:r>
          </w:p>
        </w:tc>
        <w:tc>
          <w:tcPr>
            <w:tcW w:w="661" w:type="dxa"/>
            <w:noWrap w:val="0"/>
            <w:vAlign w:val="center"/>
          </w:tcPr>
          <w:p w14:paraId="7F11D9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7" w:type="dxa"/>
            <w:noWrap w:val="0"/>
            <w:vAlign w:val="center"/>
          </w:tcPr>
          <w:p w14:paraId="673924F6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 w14:paraId="1CB6EF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F2F9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6B5F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顺序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694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标准内容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506B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标准分值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661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评分方法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1E0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得分</w:t>
            </w:r>
          </w:p>
        </w:tc>
      </w:tr>
      <w:tr w14:paraId="4CD1D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D444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一、配件、耗材要求30分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C94B"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1、维修所使用配件均为全新配件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D89B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D27D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符合：10分；基本符合：5分；不符合：0分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ED2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16AA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7326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A19B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2、定期更换全新耗材：保安过滤器每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个月必须更换，活性炭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三年更换2次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石英砂、软化树脂、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反渗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膜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三年更换1次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8955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034D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1项未按时更换扣5分，直至扣完。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990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16C6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BB6C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二、水质要求20分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4881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3、水质状况满足国家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血液透析相关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用水标准。水质不达标，必须保证一周内维修解决。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17E0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B98E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符合：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分，不符合：0分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FEF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B4E5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6176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三、维修及时性20分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E315">
            <w:pPr>
              <w:pStyle w:val="5"/>
              <w:spacing w:after="0"/>
              <w:ind w:left="0" w:leftChars="0" w:firstLine="0" w:firstLineChars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4、有驻点工程师或保证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30分钟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电话响应，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小时到达现场维修，当天解决故障。</w:t>
            </w:r>
            <w:bookmarkStart w:id="0" w:name="_GoBack"/>
            <w:bookmarkEnd w:id="0"/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4FF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B9D9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1次不及时扣1分，直至扣完。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6F8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0250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2A1B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6627">
            <w:pPr>
              <w:pStyle w:val="5"/>
              <w:spacing w:after="0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5、日常巡查发现的问题能及时整改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A228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A01A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一次不能及时整改扣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分，直至扣完。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E75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94EB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C0A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四、维保频次、台帐及服务质量20分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0AA7">
            <w:pPr>
              <w:pStyle w:val="5"/>
              <w:spacing w:after="0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6、不限次数免费人工服务，有维修记录（使用科室和维修人员双方签字）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B48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0EF8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缺1份维修记录扣1分，直至扣完。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42D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5EEC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DB1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A499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7、每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提供巡查记录，使用科室和维修人员双方签字。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412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86CE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缺1份巡查记录扣1分，直至扣完。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0A6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C8AA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BC11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5305D">
            <w:pPr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提供3个月一次的定期消毒服务，提供相应消毒记录。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2AD0BF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54366">
            <w:pPr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缺1份报告扣5分，直至扣完。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B937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DD95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2CE3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8254E">
            <w:pPr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9.每年提供化学污染物抽样、检测服务，出具第三方权威检测报告。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F4967"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00731">
            <w:pPr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符合：10分，不符合：0份。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1C34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54A6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CF04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40B75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、维修工作（社会面）有无投诉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1A6E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5分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8D347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投诉一次扣1分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3D60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4346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8791D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五、使用科室专项10分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C822A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、水处理系统及管路工作正常，使用科室对维保工作满意。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FB38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10分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5F76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满意：10分；基本满意：5分；不满意：0分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150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32E6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FC74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六、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设备科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专项10分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CD822">
            <w:pPr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、每季度有设备安全检查检测报告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ADC5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10分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50B0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缺1份报告扣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分，直至扣完。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BE0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8387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615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七</w:t>
            </w:r>
          </w:p>
        </w:tc>
        <w:tc>
          <w:tcPr>
            <w:tcW w:w="7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ED9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总得分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38C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EBD7281"/>
    <w:sectPr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3758D"/>
    <w:rsid w:val="23A337AF"/>
    <w:rsid w:val="28E41872"/>
    <w:rsid w:val="47211CE4"/>
    <w:rsid w:val="54F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1954</Words>
  <Characters>2057</Characters>
  <Lines>0</Lines>
  <Paragraphs>0</Paragraphs>
  <TotalTime>3</TotalTime>
  <ScaleCrop>false</ScaleCrop>
  <LinksUpToDate>false</LinksUpToDate>
  <CharactersWithSpaces>2086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2026-03-30T10:03:00Z</dcterms:created>
  <dc:creator>Administrator</dc:creator>
  <cp:lastModifiedBy>蒋涛`</cp:lastModifiedBy>
  <dcterms:modified xsi:type="dcterms:W3CDTF">2026-04-27T08:11:10Z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eyJoZGlkIjoiNTBhODE0ZGIyMjAyMmQ2M2VmMmIzNjQxNDg4ZDRlMTYiLCJ1c2VySWQiOiI3MDg0MDI0MDgifQ==</vt:lpwstr>
  </property>
  <property fmtid="{D5CDD505-2E9C-101B-9397-08002B2CF9AE}" pid="4" name="ICV">
    <vt:lpwstr>21C08D56EDEC435798EA85980DD67D82_12</vt:lpwstr>
  </property>
</Properties>
</file>