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7"/>
        <w:spacing w:before="0" w:after="0"/>
        <w:jc w:val="center"/>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马鞍山市中医院信息机房基础设施维保服务内容及总体要求</w:t>
      </w:r>
    </w:p>
    <w:p w14:paraId="7CBDBAF3">
      <w:pPr>
        <w:rPr>
          <w:rFonts w:hint="eastAsia" w:ascii="Times New Roman" w:hAnsi="Times New Roman" w:eastAsia="仿宋_GB2312" w:cs="Times New Roman"/>
          <w:b/>
          <w:bCs/>
          <w:color w:val="FF0000"/>
          <w:kern w:val="2"/>
          <w:sz w:val="24"/>
          <w:szCs w:val="24"/>
          <w:highlight w:val="yellow"/>
          <w:lang w:val="en-US" w:eastAsia="zh-CN" w:bidi="ar-SA"/>
        </w:rPr>
      </w:pPr>
      <w:r>
        <w:rPr>
          <w:rFonts w:hint="eastAsia" w:eastAsia="宋体"/>
          <w:sz w:val="22"/>
          <w:szCs w:val="22"/>
          <w:lang w:val="en-US" w:eastAsia="zh-CN"/>
        </w:rPr>
        <w:tab/>
      </w:r>
      <w:r>
        <w:rPr>
          <w:rFonts w:hint="eastAsia" w:ascii="Times New Roman" w:hAnsi="Times New Roman" w:eastAsia="仿宋_GB2312" w:cs="Times New Roman"/>
          <w:b/>
          <w:bCs/>
          <w:color w:val="FF0000"/>
          <w:kern w:val="2"/>
          <w:sz w:val="24"/>
          <w:szCs w:val="24"/>
          <w:highlight w:val="yellow"/>
          <w:lang w:val="en-US" w:eastAsia="zh-CN" w:bidi="ar-SA"/>
        </w:rPr>
        <w:t>（本项目采购内容及总体要求为不允许负偏离的实质性要求和条件）</w:t>
      </w:r>
    </w:p>
    <w:p w14:paraId="6DAC0A41">
      <w:pPr>
        <w:rPr>
          <w:rFonts w:hint="eastAsia" w:ascii="Times New Roman" w:hAnsi="Times New Roman" w:eastAsia="仿宋_GB2312" w:cs="Times New Roman"/>
          <w:b/>
          <w:bCs/>
          <w:color w:val="FF0000"/>
          <w:kern w:val="2"/>
          <w:sz w:val="24"/>
          <w:szCs w:val="24"/>
          <w:highlight w:val="yellow"/>
          <w:lang w:val="en-US" w:eastAsia="zh-CN" w:bidi="ar-SA"/>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项目预算（人民币）：4.85万元；</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最高限价（人民币）：4.85万元。</w:t>
      </w:r>
    </w:p>
    <w:p w14:paraId="57A2331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（一）采购清单</w:t>
      </w:r>
    </w:p>
    <w:tbl>
      <w:tblPr>
        <w:tblStyle w:val="19"/>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38"/>
        <w:gridCol w:w="792"/>
        <w:gridCol w:w="792"/>
      </w:tblGrid>
      <w:tr w14:paraId="0E93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937" w:type="dxa"/>
            <w:vAlign w:val="center"/>
          </w:tcPr>
          <w:p w14:paraId="01254DE8">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服务名称（标的名称）</w:t>
            </w:r>
          </w:p>
        </w:tc>
        <w:tc>
          <w:tcPr>
            <w:tcW w:w="792" w:type="dxa"/>
            <w:vAlign w:val="center"/>
          </w:tcPr>
          <w:p w14:paraId="55523AEA">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数量</w:t>
            </w:r>
          </w:p>
        </w:tc>
        <w:tc>
          <w:tcPr>
            <w:tcW w:w="792" w:type="dxa"/>
            <w:vAlign w:val="center"/>
          </w:tcPr>
          <w:p w14:paraId="3092806F">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单位</w:t>
            </w:r>
          </w:p>
        </w:tc>
      </w:tr>
      <w:tr w14:paraId="3176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937" w:type="dxa"/>
            <w:vAlign w:val="center"/>
          </w:tcPr>
          <w:p w14:paraId="1ABCBAE3">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马鞍山市中医院信息机房基础设施维保服务</w:t>
            </w:r>
          </w:p>
        </w:tc>
        <w:tc>
          <w:tcPr>
            <w:tcW w:w="792" w:type="dxa"/>
            <w:vAlign w:val="center"/>
          </w:tcPr>
          <w:p w14:paraId="19C2EEAC">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792" w:type="dxa"/>
            <w:vAlign w:val="center"/>
          </w:tcPr>
          <w:p w14:paraId="5C6E9D70">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w:t>
            </w:r>
          </w:p>
        </w:tc>
      </w:tr>
    </w:tbl>
    <w:p w14:paraId="28D83708">
      <w:pPr>
        <w:pStyle w:val="3"/>
        <w:rPr>
          <w:rFonts w:hint="eastAsia"/>
          <w:lang w:val="en-US" w:eastAsia="zh-CN"/>
        </w:rPr>
      </w:pPr>
    </w:p>
    <w:p w14:paraId="092B5A32">
      <w:pPr>
        <w:widowControl/>
        <w:spacing w:line="480" w:lineRule="exact"/>
        <w:rPr>
          <w:rFonts w:hint="eastAsia" w:ascii="华文中宋" w:hAnsi="华文中宋" w:eastAsia="华文中宋" w:cs="华文中宋"/>
          <w:sz w:val="28"/>
          <w:szCs w:val="28"/>
        </w:rPr>
      </w:pPr>
    </w:p>
    <w:p w14:paraId="2763F3A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（二）服务内容</w:t>
      </w:r>
    </w:p>
    <w:p w14:paraId="7B1E1FB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1、项目概况</w:t>
      </w:r>
    </w:p>
    <w:p w14:paraId="41C3B89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马鞍山市中医院核心数据机房的基础设施维保服务即将到期，目前需要进行续保。机房基础设施维保服务主要是针对机房基础设施的全套外包化服务，对机房基本运行环境进行持续监控，保障基础设施的良好运行，进而为机房内的信息化设备提供稳定的运行环境，提高我院信息化工作效率。</w:t>
      </w:r>
    </w:p>
    <w:p w14:paraId="2DDCA184">
      <w:pPr>
        <w:pStyle w:val="2"/>
        <w:rPr>
          <w:rFonts w:hint="eastAsia"/>
          <w:lang w:val="en-US" w:eastAsia="zh-CN"/>
        </w:rPr>
      </w:pPr>
    </w:p>
    <w:p w14:paraId="3333BDD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2、项目内容及要求：</w:t>
      </w:r>
    </w:p>
    <w:p w14:paraId="5693EF4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2.1 柜式七氟丙烷灭火装置花粉</w:t>
      </w:r>
    </w:p>
    <w:p w14:paraId="12CDA45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（1）更换现有失效花粉及装置；</w:t>
      </w:r>
    </w:p>
    <w:p w14:paraId="37EEE5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（2）定期检查花粉有效期，更换失效花粉，检查花粉装置灭火活性，保障设备的正常使用；</w:t>
      </w:r>
    </w:p>
    <w:p w14:paraId="44AB701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（3）检查设备的卫生状况、外观是否完好等；</w:t>
      </w:r>
    </w:p>
    <w:p w14:paraId="50E4529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（4）出现故障时，及时进行维修，部件损坏时，进行备件替换。</w:t>
      </w:r>
    </w:p>
    <w:p w14:paraId="6E8ED8D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0010190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2.2 精密空调</w:t>
      </w:r>
    </w:p>
    <w:p w14:paraId="05D8775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（1）检查空调过滤网的使用情况，定期进行更换；</w:t>
      </w:r>
    </w:p>
    <w:p w14:paraId="5B9C32F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（2）检查空调室外机的使用和运行情况，定期进行清洗；</w:t>
      </w:r>
    </w:p>
    <w:p w14:paraId="3B920F0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（3）检查空调内外机是否正常运行，温度湿度控制是否在机房规定范围内；</w:t>
      </w:r>
    </w:p>
    <w:p w14:paraId="157BCC5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（4）检查空调设备室内机运行时是否存在异常噪音和控制面板故障报警情况；</w:t>
      </w:r>
    </w:p>
    <w:p w14:paraId="23C8029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（5）检查空调是否有漏水现象；</w:t>
      </w:r>
    </w:p>
    <w:p w14:paraId="3AC37BC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（6）检查空调电源线路和插头是否稳固、是否出现老化现象；</w:t>
      </w:r>
    </w:p>
    <w:p w14:paraId="78A0AD3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（7）检查空调设备卫生情况；</w:t>
      </w:r>
    </w:p>
    <w:p w14:paraId="539EE7A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（8）空调市内主机出现故障报警时，及时进行维修排查；部件损坏时，进行备件替换；</w:t>
      </w:r>
    </w:p>
    <w:p w14:paraId="03F0414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（9）定期更换空调的易损部件（皮带、过滤网等）。</w:t>
      </w:r>
    </w:p>
    <w:p w14:paraId="5F0F376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0AA124F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2.3 UPS主机</w:t>
      </w:r>
    </w:p>
    <w:p w14:paraId="25AFA72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（1）检查UPS主机运行状况，并进行保养维护；</w:t>
      </w:r>
    </w:p>
    <w:p w14:paraId="459FD69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（2）出现故障时，及时进行维修，部件损坏时，进行原厂备件替换；</w:t>
      </w:r>
    </w:p>
    <w:p w14:paraId="0FC1AA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（3）定期巡检确保UPS各项参数运行在正常范围内；</w:t>
      </w:r>
    </w:p>
    <w:p w14:paraId="4B917CD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（4）增加一台UPS主机，与现有的UPS主机组成双机热备模式，在单台UPS故障时能将电力负载瞬时切换到另一台主机，增加的UPS主机需要与现有主机为同品牌，且性能参数不低于现有主机。</w:t>
      </w:r>
    </w:p>
    <w:p w14:paraId="27D7E7C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5BADB7A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2.4 UPS电池</w:t>
      </w:r>
    </w:p>
    <w:p w14:paraId="0E29CDE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（1）检查蓄电池外观完好性；</w:t>
      </w:r>
    </w:p>
    <w:p w14:paraId="36D32F5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（2）检查蓄电池是否有变形、渗液等状况；</w:t>
      </w:r>
    </w:p>
    <w:p w14:paraId="2D2E353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（3）定期清洁蓄电池；</w:t>
      </w:r>
    </w:p>
    <w:p w14:paraId="0FBCCCC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（4）因电池问题造成UPS系统出现故障时，及时进行维修；部件损坏时，进行备件替换；</w:t>
      </w:r>
    </w:p>
    <w:p w14:paraId="2FAA733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（5）定期检测蓄电池的健康度。</w:t>
      </w:r>
    </w:p>
    <w:p w14:paraId="4A59CE1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39D56BA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2.5 消防系统、安防监控系统、防雷系统</w:t>
      </w:r>
    </w:p>
    <w:p w14:paraId="0F6410A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（1）检查消防、安防设备、防雷系统合格证、是否通过安全定检；</w:t>
      </w:r>
    </w:p>
    <w:p w14:paraId="4928346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（2）检查消防、安防设备、防雷系统是否配备足够；</w:t>
      </w:r>
    </w:p>
    <w:p w14:paraId="0A1C20E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（3）检查消防、安防设备、防雷系统是否完好（外观）；</w:t>
      </w:r>
    </w:p>
    <w:p w14:paraId="3DE0FA1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（4）定期测试机房安防、消防系统、防雷系统是否能正常运行，并出具测试报告；</w:t>
      </w:r>
    </w:p>
    <w:p w14:paraId="6F09EE8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（5）清洁消防、安防设备、防雷设备；</w:t>
      </w:r>
    </w:p>
    <w:p w14:paraId="3F2FF4CF">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279" w:leftChars="133"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（6）出现故障时，及时进行维修，部件损坏时，进行备件替换；（7）将机房消控系统接入中医院消控系统，实现可在消控室进行消防报警联动处置。</w:t>
      </w:r>
    </w:p>
    <w:p w14:paraId="24BCA1D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0F4C372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2.6 强、弱电改造及集成服务</w:t>
      </w:r>
    </w:p>
    <w:p w14:paraId="291D622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（1）根据机房强、弱电现部署状况，进行相应的线路优化及改造；</w:t>
      </w:r>
    </w:p>
    <w:p w14:paraId="45BC8D3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（2）拆除废旧设备，并安装调试新设备，对报废设备和下架设备进行归类打标处理。</w:t>
      </w:r>
    </w:p>
    <w:p w14:paraId="0EBA2F7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5B7AD72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2.7 机房门禁系统维护</w:t>
      </w:r>
    </w:p>
    <w:p w14:paraId="0C63E21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（1）维护门禁系统的正常运行，保障机房进出入安全；</w:t>
      </w:r>
    </w:p>
    <w:p w14:paraId="69A3905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（2）门禁系统需包含进人员出入记录查询、指纹解锁、密码解锁等常用功能。</w:t>
      </w:r>
    </w:p>
    <w:p w14:paraId="39F0263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2C9B712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2.8 机房环控系统维护</w:t>
      </w:r>
    </w:p>
    <w:p w14:paraId="3E8681C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（1）检查和维护现有环控系统的功能和运行状态，保障系统正常运行；</w:t>
      </w:r>
    </w:p>
    <w:p w14:paraId="25313D9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（2）环控服务器需要具备短信报警、联网在线报警等功能，在机房状态异常时能及时通知管理人；</w:t>
      </w:r>
    </w:p>
    <w:p w14:paraId="29CE573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（3）如在机房安装了新的传感器或者新设备，需协助将其接入到环控系统中进行统一管理。</w:t>
      </w:r>
    </w:p>
    <w:p w14:paraId="2C5FBB1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p>
    <w:p w14:paraId="2332352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2.9 机房监控系统维护</w:t>
      </w:r>
    </w:p>
    <w:p w14:paraId="3D5061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（1）保障机房现有监控设备的正常运行，保障监控画面和图像的清晰度；</w:t>
      </w:r>
    </w:p>
    <w:p w14:paraId="4B0C478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（2）保障硬盘录像机的监控存储时间满足主管部门的要求；</w:t>
      </w:r>
    </w:p>
    <w:p w14:paraId="14948B1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（3）增加机房内部的监控点位，如有必要需对硬盘录像机和摄像头进行更换或升级，增大硬盘录像机存储容量。</w:t>
      </w:r>
    </w:p>
    <w:p w14:paraId="2B54BA2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p>
    <w:p w14:paraId="4BBC197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2.10 新部署NTP服务器一台</w:t>
      </w:r>
      <w:bookmarkStart w:id="0" w:name="_GoBack"/>
      <w:bookmarkEnd w:id="0"/>
    </w:p>
    <w:p w14:paraId="5F155F9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因业务需要，机房内需新增NTP授时服务器一台，由成交供应商进行提供和安装。授时服务器采用机架式安装，内置卫星接收机需支持GPS、北斗双协议，天线线缆长度及防护等级满足在机房楼顶进行安装，内置后备电池和守时单元，支持断电守时，支持NTP协议。</w:t>
      </w:r>
    </w:p>
    <w:p w14:paraId="2209F89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p>
    <w:p w14:paraId="544E854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2.11 机房巡检</w:t>
      </w:r>
    </w:p>
    <w:p w14:paraId="04326DD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（1）每月定期进行机房日常巡检，并提供各设备的巡检报告；</w:t>
      </w:r>
    </w:p>
    <w:p w14:paraId="0C06B9A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（2）机房的日常清洁、整理等其它工作。</w:t>
      </w:r>
    </w:p>
    <w:p w14:paraId="7485018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p>
    <w:p w14:paraId="7CB3A5B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2.12 服务团队要求</w:t>
      </w:r>
    </w:p>
    <w:p w14:paraId="3C9424DD">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须为本项目组建稳定的、专业的、独立的项目团队，负责本项目服务实施工作。供应商须确保人力、物力的投入，项目组成员必须稳定，项目实施团队成员不少于2人。项目经理须具备丰富的机房运维知识，具有快速解决问题的能力，有较高判断故障和管理协调的能力，至少具有3年以上机房运维服务经验，能够深刻理解机房运维服务工作内容。 供应商在运维服务过程中应严格按照相关安全标准，针对运维服务的各个环节，提出有效质量管理计划、质量控制措施及风险控制规避计划,项目经理应在项目每一阶段，对实施过程的控制，调查、分析和解决发现的问题，问题及其解决办法都应写成文档（包括项目周报、会议记录等），保证服务项目按照目标计划进行执行。</w:t>
      </w:r>
    </w:p>
    <w:p w14:paraId="46EC74B3">
      <w:pPr>
        <w:keepNext w:val="0"/>
        <w:keepLines w:val="0"/>
        <w:pageBreakBefore w:val="0"/>
        <w:widowControl w:val="0"/>
        <w:tabs>
          <w:tab w:val="left" w:pos="702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8"/>
          <w:szCs w:val="28"/>
          <w:lang w:val="en-US" w:eastAsia="zh-CN"/>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（三）商务要求</w:t>
      </w:r>
    </w:p>
    <w:p w14:paraId="1CD27C3A">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val="en-US" w:eastAsia="zh-CN"/>
        </w:rPr>
        <w:t>进场时间：</w:t>
      </w:r>
      <w:r>
        <w:rPr>
          <w:rFonts w:hint="eastAsia" w:ascii="仿宋_GB2312" w:hAnsi="仿宋_GB2312" w:eastAsia="仿宋_GB2312" w:cs="仿宋_GB2312"/>
          <w:sz w:val="28"/>
          <w:szCs w:val="28"/>
          <w:lang w:val="en-US" w:eastAsia="zh-CN"/>
        </w:rPr>
        <w:t>成交供应商应在合同签订之日起</w:t>
      </w:r>
      <w:r>
        <w:rPr>
          <w:rFonts w:hint="default"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个工作日内完成对机房基础设施运行现状的调研和目前存在故障的统计工作，保证相关服务工作正常有序进行。</w:t>
      </w:r>
    </w:p>
    <w:p w14:paraId="49FC557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default" w:ascii="仿宋_GB2312" w:hAnsi="仿宋_GB2312" w:eastAsia="仿宋_GB2312" w:cs="仿宋_GB2312"/>
          <w:b/>
          <w:bCs/>
          <w:sz w:val="28"/>
          <w:szCs w:val="28"/>
          <w:lang w:val="en-US" w:eastAsia="zh-CN"/>
        </w:rPr>
        <w:t>服务时间（期限）：</w:t>
      </w:r>
      <w:r>
        <w:rPr>
          <w:rFonts w:hint="eastAsia" w:ascii="仿宋_GB2312" w:hAnsi="仿宋_GB2312" w:eastAsia="仿宋_GB2312" w:cs="仿宋_GB2312"/>
          <w:sz w:val="28"/>
          <w:szCs w:val="28"/>
          <w:lang w:val="en-US" w:eastAsia="zh-CN"/>
        </w:rPr>
        <w:t>合同签订之日起不超过3年。合同采取一年一签，采购人对成交供应商服务满意，在合同内容不变情况下，可以继续与其签订下一个服务周期的服务合同；一个服务周期结束后，采购人也可以根据实际情况拒绝与成交供应商签订下一个服务周期的服务合同，重新采购。服务期限内由采购人对成交供应商服务质量进行考核（考核办法由采购人另定），考核不合格，采购人有权解除合同。</w:t>
      </w:r>
    </w:p>
    <w:p w14:paraId="2F87B95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、服务地点：</w:t>
      </w:r>
      <w:r>
        <w:rPr>
          <w:rFonts w:hint="default" w:ascii="仿宋_GB2312" w:hAnsi="仿宋_GB2312" w:eastAsia="仿宋_GB2312" w:cs="仿宋_GB2312"/>
          <w:sz w:val="28"/>
          <w:szCs w:val="28"/>
          <w:lang w:val="en-US" w:eastAsia="zh-CN"/>
        </w:rPr>
        <w:t>马鞍山市中医院（</w:t>
      </w:r>
      <w:r>
        <w:rPr>
          <w:rFonts w:hint="eastAsia" w:ascii="仿宋_GB2312" w:hAnsi="仿宋_GB2312" w:eastAsia="仿宋_GB2312" w:cs="仿宋_GB2312"/>
          <w:sz w:val="28"/>
          <w:szCs w:val="28"/>
          <w:lang w:val="en-US" w:eastAsia="zh-CN"/>
        </w:rPr>
        <w:t>采购人</w:t>
      </w:r>
      <w:r>
        <w:rPr>
          <w:rFonts w:hint="default" w:ascii="仿宋_GB2312" w:hAnsi="仿宋_GB2312" w:eastAsia="仿宋_GB2312" w:cs="仿宋_GB2312"/>
          <w:sz w:val="28"/>
          <w:szCs w:val="28"/>
          <w:lang w:val="en-US" w:eastAsia="zh-CN"/>
        </w:rPr>
        <w:t>指定地点）。</w:t>
      </w:r>
    </w:p>
    <w:p w14:paraId="78E7B6B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lang w:val="en-US" w:eastAsia="zh-CN"/>
        </w:rPr>
        <w:t>质保期限</w:t>
      </w:r>
    </w:p>
    <w:p w14:paraId="4DEE2DD3">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交供应商使用的所有配件和设备以其生产厂家实际提供的质保期限为准，如合同到期后在服务期内所提供配件和设备在其原生产厂家未过保的，成交供应商需继续提供维保服务。所有的维保服务由成交供应商统一进行提供。</w:t>
      </w:r>
    </w:p>
    <w:p w14:paraId="1F112C1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w:t>
      </w:r>
      <w:r>
        <w:rPr>
          <w:rFonts w:hint="default" w:ascii="仿宋_GB2312" w:hAnsi="仿宋_GB2312" w:eastAsia="仿宋_GB2312" w:cs="仿宋_GB2312"/>
          <w:b/>
          <w:bCs/>
          <w:sz w:val="28"/>
          <w:szCs w:val="28"/>
          <w:lang w:val="en-US" w:eastAsia="zh-CN"/>
        </w:rPr>
        <w:t>付款方式：</w:t>
      </w:r>
      <w:r>
        <w:rPr>
          <w:rFonts w:hint="eastAsia" w:ascii="仿宋_GB2312" w:hAnsi="仿宋_GB2312" w:eastAsia="仿宋_GB2312" w:cs="仿宋_GB2312"/>
          <w:sz w:val="28"/>
          <w:szCs w:val="28"/>
          <w:lang w:val="en-US" w:eastAsia="zh-CN"/>
        </w:rPr>
        <w:t>合同款实行每年结算，在成交供应商切实履行了全部合同义务后，由信息科对成交供应商本年度的服务进行考核，经采购人考核合格后于</w:t>
      </w:r>
      <w:r>
        <w:rPr>
          <w:rFonts w:hint="default"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en-US" w:eastAsia="zh-CN"/>
        </w:rPr>
        <w:t>日内支付合同款。</w:t>
      </w:r>
    </w:p>
    <w:p w14:paraId="3E11FBA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在项目实施过程中，国家对相关项目有资质要求的，进场单位和人员的资质、资格符合国家、省、市有关规定。实施期间</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所发生的或</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实施场地内发生的或</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原因造成的安全事故，均应由</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负责按有关规定处理善后事宜，并承担给采购人造成的损失。</w:t>
      </w:r>
    </w:p>
    <w:p w14:paraId="0CE5AE5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响应</w:t>
      </w:r>
      <w:r>
        <w:rPr>
          <w:rFonts w:hint="default" w:ascii="仿宋_GB2312" w:hAnsi="仿宋_GB2312" w:eastAsia="仿宋_GB2312" w:cs="仿宋_GB2312"/>
          <w:sz w:val="28"/>
          <w:szCs w:val="28"/>
          <w:lang w:val="en-US" w:eastAsia="zh-CN"/>
        </w:rPr>
        <w:t>文件中为本项目配备的人员力量，在合同履行期间，</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须按采购人要求到达本项目现场提供相应服务，否则采购人有权解除采购合同。</w:t>
      </w:r>
    </w:p>
    <w:p w14:paraId="0F227AD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、服务响应时间：</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需设有专门的服务队伍，建立完备的响应机制。如出现服务问题，电话响应无法解决，</w:t>
      </w:r>
      <w:r>
        <w:rPr>
          <w:rFonts w:hint="eastAsia" w:ascii="仿宋_GB2312" w:hAnsi="仿宋_GB2312" w:eastAsia="仿宋_GB2312" w:cs="仿宋_GB2312"/>
          <w:sz w:val="28"/>
          <w:szCs w:val="28"/>
          <w:lang w:val="en-US" w:eastAsia="zh-CN"/>
        </w:rPr>
        <w:t>成交供应商</w:t>
      </w:r>
      <w:r>
        <w:rPr>
          <w:rFonts w:hint="default" w:ascii="仿宋_GB2312" w:hAnsi="仿宋_GB2312" w:eastAsia="仿宋_GB2312" w:cs="仿宋_GB2312"/>
          <w:sz w:val="28"/>
          <w:szCs w:val="28"/>
          <w:lang w:val="en-US" w:eastAsia="zh-CN"/>
        </w:rPr>
        <w:t>必须在接到电话 24 小时内到达现场并解决问题。</w:t>
      </w:r>
    </w:p>
    <w:p w14:paraId="0DB6B291">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0" w:firstLineChars="1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、本项目总</w:t>
      </w:r>
      <w:r>
        <w:rPr>
          <w:rFonts w:hint="eastAsia" w:ascii="仿宋_GB2312" w:hAnsi="仿宋_GB2312" w:eastAsia="仿宋_GB2312" w:cs="仿宋_GB2312"/>
          <w:sz w:val="28"/>
          <w:szCs w:val="28"/>
          <w:lang w:val="en-US" w:eastAsia="zh-CN"/>
        </w:rPr>
        <w:t>响应</w:t>
      </w:r>
      <w:r>
        <w:rPr>
          <w:rFonts w:hint="default" w:ascii="仿宋_GB2312" w:hAnsi="仿宋_GB2312" w:eastAsia="仿宋_GB2312" w:cs="仿宋_GB2312"/>
          <w:sz w:val="28"/>
          <w:szCs w:val="28"/>
          <w:lang w:val="en-US" w:eastAsia="zh-CN"/>
        </w:rPr>
        <w:t>价包含了交付使用前的全部费用，包括消防备案、资料打印费、出图费、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且甲方有权要求</w:t>
      </w:r>
      <w:r>
        <w:rPr>
          <w:rFonts w:hint="eastAsia" w:ascii="仿宋_GB2312" w:hAnsi="仿宋_GB2312" w:eastAsia="仿宋_GB2312" w:cs="仿宋_GB2312"/>
          <w:sz w:val="28"/>
          <w:szCs w:val="28"/>
          <w:lang w:val="en-US" w:eastAsia="zh-CN"/>
        </w:rPr>
        <w:t>响应</w:t>
      </w:r>
      <w:r>
        <w:rPr>
          <w:rFonts w:hint="default" w:ascii="仿宋_GB2312" w:hAnsi="仿宋_GB2312" w:eastAsia="仿宋_GB2312" w:cs="仿宋_GB2312"/>
          <w:sz w:val="28"/>
          <w:szCs w:val="28"/>
          <w:lang w:val="en-US" w:eastAsia="zh-CN"/>
        </w:rPr>
        <w:t>单位对效果图进行修改、优化，</w:t>
      </w:r>
      <w:r>
        <w:rPr>
          <w:rFonts w:hint="eastAsia" w:ascii="仿宋_GB2312" w:hAnsi="仿宋_GB2312" w:eastAsia="仿宋_GB2312" w:cs="仿宋_GB2312"/>
          <w:sz w:val="28"/>
          <w:szCs w:val="28"/>
          <w:lang w:val="en-US" w:eastAsia="zh-CN"/>
        </w:rPr>
        <w:t>响应</w:t>
      </w:r>
      <w:r>
        <w:rPr>
          <w:rFonts w:hint="default" w:ascii="仿宋_GB2312" w:hAnsi="仿宋_GB2312" w:eastAsia="仿宋_GB2312" w:cs="仿宋_GB2312"/>
          <w:sz w:val="28"/>
          <w:szCs w:val="28"/>
          <w:lang w:val="en-US" w:eastAsia="zh-CN"/>
        </w:rPr>
        <w:t>单位须按要求修改至甲方满意为止，均不再产生任何二次费用。</w:t>
      </w:r>
    </w:p>
    <w:p w14:paraId="7CDA12C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bCs/>
          <w:color w:val="FF0000"/>
          <w:kern w:val="2"/>
          <w:sz w:val="28"/>
          <w:szCs w:val="28"/>
          <w:highlight w:val="yellow"/>
          <w:lang w:val="en-US" w:eastAsia="zh-CN" w:bidi="ar-SA"/>
        </w:rPr>
      </w:pPr>
      <w:r>
        <w:rPr>
          <w:rFonts w:hint="eastAsia" w:ascii="仿宋_GB2312" w:hAnsi="仿宋_GB2312" w:eastAsia="仿宋_GB2312" w:cs="仿宋_GB2312"/>
          <w:b/>
          <w:bCs/>
          <w:sz w:val="28"/>
          <w:szCs w:val="28"/>
          <w:lang w:val="en-US" w:eastAsia="zh-CN"/>
        </w:rPr>
        <w:t>10</w:t>
      </w:r>
      <w:r>
        <w:rPr>
          <w:rFonts w:hint="default" w:ascii="仿宋_GB2312" w:hAnsi="仿宋_GB2312" w:eastAsia="仿宋_GB2312" w:cs="仿宋_GB2312"/>
          <w:b/>
          <w:bCs/>
          <w:sz w:val="28"/>
          <w:szCs w:val="28"/>
          <w:lang w:val="en-US" w:eastAsia="zh-CN"/>
        </w:rPr>
        <w:t>、其他要求：</w:t>
      </w:r>
      <w:r>
        <w:rPr>
          <w:rFonts w:hint="default" w:ascii="仿宋_GB2312" w:hAnsi="仿宋_GB2312" w:eastAsia="仿宋_GB2312" w:cs="仿宋_GB2312"/>
          <w:b/>
          <w:bCs/>
          <w:color w:val="FF0000"/>
          <w:sz w:val="28"/>
          <w:szCs w:val="28"/>
          <w:highlight w:val="yellow"/>
          <w:lang w:val="en-US" w:eastAsia="zh-CN"/>
        </w:rPr>
        <w:t>本项目</w:t>
      </w:r>
      <w:r>
        <w:rPr>
          <w:rFonts w:hint="eastAsia" w:ascii="仿宋_GB2312" w:hAnsi="仿宋_GB2312" w:eastAsia="仿宋_GB2312" w:cs="仿宋_GB2312"/>
          <w:b/>
          <w:bCs/>
          <w:color w:val="FF0000"/>
          <w:sz w:val="28"/>
          <w:szCs w:val="28"/>
          <w:highlight w:val="yellow"/>
          <w:lang w:val="en-US" w:eastAsia="zh-CN"/>
        </w:rPr>
        <w:t>供应商</w:t>
      </w:r>
      <w:r>
        <w:rPr>
          <w:rFonts w:hint="default" w:ascii="仿宋_GB2312" w:hAnsi="仿宋_GB2312" w:eastAsia="仿宋_GB2312" w:cs="仿宋_GB2312"/>
          <w:b/>
          <w:bCs/>
          <w:color w:val="FF0000"/>
          <w:sz w:val="28"/>
          <w:szCs w:val="28"/>
          <w:highlight w:val="yellow"/>
          <w:lang w:val="en-US" w:eastAsia="zh-CN"/>
        </w:rPr>
        <w:t>特定资格要求：</w:t>
      </w:r>
      <w:r>
        <w:rPr>
          <w:rFonts w:hint="eastAsia" w:ascii="仿宋_GB2312" w:hAnsi="仿宋_GB2312" w:eastAsia="仿宋_GB2312" w:cs="仿宋_GB2312"/>
          <w:b/>
          <w:bCs/>
          <w:color w:val="FF0000"/>
          <w:kern w:val="2"/>
          <w:sz w:val="28"/>
          <w:szCs w:val="28"/>
          <w:highlight w:val="yellow"/>
          <w:lang w:val="en-US" w:eastAsia="zh-CN" w:bidi="ar-SA"/>
        </w:rPr>
        <w:t>电子与智能化工程专业承包资质（二级或以上）</w:t>
      </w:r>
    </w:p>
    <w:p w14:paraId="41F21CD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bCs/>
          <w:color w:val="FF0000"/>
          <w:sz w:val="28"/>
          <w:szCs w:val="28"/>
          <w:highlight w:val="yellow"/>
          <w:lang w:val="en-US" w:eastAsia="zh-CN"/>
        </w:rPr>
      </w:pPr>
    </w:p>
    <w:p w14:paraId="2ED14146">
      <w:pPr>
        <w:keepNext w:val="0"/>
        <w:keepLines w:val="0"/>
        <w:pageBreakBefore w:val="0"/>
        <w:widowControl w:val="0"/>
        <w:tabs>
          <w:tab w:val="left" w:pos="7020"/>
        </w:tabs>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53619EC0-8573-4AE1-895D-C935F46D636F}"/>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D8EC0BC1-9251-4D1C-8DD8-09A72AB589F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0D4234FE"/>
    <w:rsid w:val="0EAD100E"/>
    <w:rsid w:val="17875A15"/>
    <w:rsid w:val="19ED1940"/>
    <w:rsid w:val="1B096E5A"/>
    <w:rsid w:val="20DB1848"/>
    <w:rsid w:val="22BC150E"/>
    <w:rsid w:val="28597DF9"/>
    <w:rsid w:val="2A471FEB"/>
    <w:rsid w:val="33084527"/>
    <w:rsid w:val="340A6274"/>
    <w:rsid w:val="3FC945CA"/>
    <w:rsid w:val="421A00E8"/>
    <w:rsid w:val="4CC7027B"/>
    <w:rsid w:val="510026A9"/>
    <w:rsid w:val="51951749"/>
    <w:rsid w:val="53ED5526"/>
    <w:rsid w:val="55471060"/>
    <w:rsid w:val="55B61960"/>
    <w:rsid w:val="66F66060"/>
    <w:rsid w:val="68701E42"/>
    <w:rsid w:val="6B297183"/>
    <w:rsid w:val="6BB97277"/>
    <w:rsid w:val="70661AF5"/>
    <w:rsid w:val="78381BD3"/>
    <w:rsid w:val="79A20C2B"/>
    <w:rsid w:val="79CB70E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宋体"/>
      <w:sz w:val="32"/>
      <w:szCs w:val="22"/>
    </w:rPr>
  </w:style>
  <w:style w:type="paragraph" w:styleId="3">
    <w:name w:val="Normal Indent"/>
    <w:basedOn w:val="1"/>
    <w:qFormat/>
    <w:uiPriority w:val="0"/>
    <w:pPr>
      <w:ind w:firstLine="420" w:firstLineChars="200"/>
    </w:pPr>
    <w:rPr>
      <w:kern w:val="0"/>
      <w:sz w:val="24"/>
      <w:szCs w:val="20"/>
    </w:rPr>
  </w:style>
  <w:style w:type="paragraph" w:styleId="4">
    <w:name w:val="Body Text"/>
    <w:basedOn w:val="1"/>
    <w:qFormat/>
    <w:uiPriority w:val="0"/>
    <w:pPr>
      <w:jc w:val="left"/>
    </w:pPr>
    <w:rPr>
      <w:rFonts w:ascii="Arial" w:hAnsi="Arial" w:eastAsia="黑体" w:cs="黑体"/>
      <w:b/>
      <w:sz w:val="32"/>
      <w:szCs w:val="22"/>
    </w:rPr>
  </w:style>
  <w:style w:type="paragraph" w:styleId="5">
    <w:name w:val="footer"/>
    <w:basedOn w:val="1"/>
    <w:qFormat/>
    <w:uiPriority w:val="0"/>
    <w:pPr>
      <w:tabs>
        <w:tab w:val="center" w:pos="4153"/>
        <w:tab w:val="right" w:pos="8306"/>
      </w:tabs>
      <w:snapToGrid w:val="0"/>
      <w:jc w:val="left"/>
    </w:pPr>
    <w:rPr>
      <w:sz w:val="18"/>
      <w:lang w:bidi="he-IL"/>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style>
  <w:style w:type="character" w:customStyle="1" w:styleId="12">
    <w:name w:val="标题 Char"/>
    <w:link w:val="7"/>
    <w:qFormat/>
    <w:uiPriority w:val="0"/>
    <w:rPr>
      <w:rFonts w:ascii="Cambria" w:hAnsi="Cambria"/>
      <w:b/>
      <w:bCs/>
      <w:sz w:val="32"/>
      <w:szCs w:val="32"/>
    </w:rPr>
  </w:style>
  <w:style w:type="character" w:customStyle="1" w:styleId="13">
    <w:name w:val="font0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ascii="Arial" w:hAnsi="Arial" w:cs="Arial"/>
      <w:color w:val="000000"/>
      <w:sz w:val="20"/>
      <w:szCs w:val="20"/>
      <w:u w:val="none"/>
    </w:rPr>
  </w:style>
  <w:style w:type="character" w:customStyle="1" w:styleId="15">
    <w:name w:val="font11"/>
    <w:basedOn w:val="10"/>
    <w:qFormat/>
    <w:uiPriority w:val="0"/>
    <w:rPr>
      <w:rFonts w:hint="eastAsia" w:ascii="宋体" w:hAnsi="宋体" w:eastAsia="宋体" w:cs="宋体"/>
      <w:color w:val="000000"/>
      <w:sz w:val="18"/>
      <w:szCs w:val="18"/>
      <w:u w:val="none"/>
    </w:rPr>
  </w:style>
  <w:style w:type="character" w:customStyle="1" w:styleId="16">
    <w:name w:val="font31"/>
    <w:basedOn w:val="10"/>
    <w:qFormat/>
    <w:uiPriority w:val="0"/>
    <w:rPr>
      <w:rFonts w:hint="default" w:ascii="Arial" w:hAnsi="Arial" w:cs="Arial"/>
      <w:color w:val="000000"/>
      <w:sz w:val="18"/>
      <w:szCs w:val="18"/>
      <w:u w:val="none"/>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Table Text"/>
    <w:basedOn w:val="1"/>
    <w:semiHidden/>
    <w:qFormat/>
    <w:uiPriority w:val="0"/>
    <w:rPr>
      <w:rFonts w:ascii="宋体" w:hAnsi="宋体" w:eastAsia="宋体" w:cs="宋体"/>
      <w:sz w:val="28"/>
      <w:szCs w:val="28"/>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缺省文本"/>
    <w:basedOn w:val="1"/>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3027</Words>
  <Characters>3089</Characters>
  <Lines>0</Lines>
  <Paragraphs>0</Paragraphs>
  <TotalTime>1080</TotalTime>
  <ScaleCrop>false</ScaleCrop>
  <LinksUpToDate>false</LinksUpToDate>
  <CharactersWithSpaces>3105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2026-04-02T02:42:50Z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