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病人转运车等设备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采购清单及相关要求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640" w:firstLineChars="13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一、采购清单</w:t>
      </w:r>
    </w:p>
    <w:tbl>
      <w:tblPr>
        <w:tblStyle w:val="5"/>
        <w:tblW w:w="464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2690"/>
        <w:gridCol w:w="1079"/>
        <w:gridCol w:w="1107"/>
        <w:gridCol w:w="1441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产品名称</w:t>
            </w: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数量</w:t>
            </w: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单位</w:t>
            </w: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最高限制单价（元）</w:t>
            </w: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预算总价（元）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病人转运车</w:t>
            </w: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3000</w:t>
            </w: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输液治疗车（A款）</w:t>
            </w: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1300</w:t>
            </w: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2600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输液治疗车（B款）</w:t>
            </w: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1100</w:t>
            </w: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病历车</w:t>
            </w: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2000</w:t>
            </w: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240" w:firstLineChars="100"/>
              <w:jc w:val="both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9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1596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</w:p>
        </w:tc>
        <w:tc>
          <w:tcPr>
            <w:tcW w:w="64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</w:p>
        </w:tc>
        <w:tc>
          <w:tcPr>
            <w:tcW w:w="657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</w:p>
        </w:tc>
        <w:tc>
          <w:tcPr>
            <w:tcW w:w="855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</w:pPr>
          </w:p>
        </w:tc>
        <w:tc>
          <w:tcPr>
            <w:tcW w:w="750" w:type="pc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宋体" w:hAnsi="宋体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highlight w:val="none"/>
                <w:lang w:val="en-US" w:eastAsia="zh-CN"/>
              </w:rPr>
              <w:t>14700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技术要求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default" w:ascii="宋体" w:hAnsi="宋体" w:eastAsia="宋体" w:cs="Times New Roman"/>
          <w:b/>
          <w:bCs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  <w:t>（一）病人转运车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1.适用于胃肠镜患者检查使用；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2.参考规格：1950*650*550-800mm（±20mm）；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3.主要框架结构采用钢管制成，外表静电粉末喷涂；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4.护栏为两片式PP升降护栏；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5.可调整车面高度，高度调节范围550-800mm（±20mm）；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6.转运车脚轮为4只≥6寸双排静音中控轮；配备导向轮装置，可控制车体行进方向；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7.背部可升降，角度可0-≥75°可调；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8.承重≥250kg；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 xml:space="preserve">9.配一张抑菌防水牛津布床垫以及不锈钢输液架一根。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427990</wp:posOffset>
            </wp:positionV>
            <wp:extent cx="3921125" cy="2186305"/>
            <wp:effectExtent l="0" t="0" r="3175" b="4445"/>
            <wp:wrapTopAndBottom/>
            <wp:docPr id="4" name="图片 4" descr="e9eae9eb987056b261de6afa5f1f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eae9eb987056b261de6afa5f1f5424"/>
                    <pic:cNvPicPr>
                      <a:picLocks noChangeAspect="1"/>
                    </pic:cNvPicPr>
                  </pic:nvPicPr>
                  <pic:blipFill>
                    <a:blip r:embed="rId4"/>
                    <a:srcRect t="35806" b="38547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10.参考图片：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  <w:t>（二）输液治疗车（A款）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1.参考尺寸：750*500*1000mm（±20mm）；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2.适用于医护人员对病人急救麻醉换药输液护理等；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3.主体由铝、钢、ABS工程塑料结构组成，四柱承重，内有铝管；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4.ABS三层底面注塑工艺成型，采用一体式两侧扶手台面，凹陷设计可防止物品滑落，不锈钢三面护栏，台面上配透明软玻璃、台面有可升降不锈钢支架，支架上配≥10个双排输液挂钩；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5.左侧付工作台面一个，置物篮一个 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6.右侧配垃圾桶两个，置物篮一个，锐气盒两个；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7.车体配备中控锁，配置两层中抽抽屉，每层抽屉内置至少3*3分隔片，可自由分隔药盒；ABS款抽屉拉手，配备封口插槽式标识牌及标签，底板凹槽式盆体设计；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8.ABS静音万向脚轮，其中≥两只带刹车。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354330</wp:posOffset>
            </wp:positionV>
            <wp:extent cx="1771650" cy="2546350"/>
            <wp:effectExtent l="0" t="0" r="0" b="6350"/>
            <wp:wrapTopAndBottom/>
            <wp:docPr id="1" name="图片 1" descr="d8b2a04333780b80eb4bee644683d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b2a04333780b80eb4bee644683d932"/>
                    <pic:cNvPicPr>
                      <a:picLocks noChangeAspect="1"/>
                    </pic:cNvPicPr>
                  </pic:nvPicPr>
                  <pic:blipFill>
                    <a:blip r:embed="rId5"/>
                    <a:srcRect l="30118" t="4335" r="23177" b="716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参考图片：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  <w:t>（三）输液治疗车（B款）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1.参考尺寸：600*500*950mm（±20mm）；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2.适用于医护人员对病人急救护理放药品耗材等；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3.主体用铝、钢、ABS工程塑料结构组成，四柱承重，内有铝管；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4.ABS双层底面注塑工艺成型台面，凹陷设计，不锈钢三面围栏，台面上配透明软玻璃；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5.正面配备中控锁，三折静音轨道，设计一个中抽抽屉，抽屉内有至少3*3分格片，可自由分隔，配备封口插槽式标识牌及标签，底板凹槽设计；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6.左侧配备隐藏式付工作台面一个，置物篮一个，锐器盒两个；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7.右侧配备分色垃圾桶两个；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8.底部配备旋转式污物桶两个；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9.ABS静音万向脚轮，其中≥两只带刹车。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10.参考图片：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113665</wp:posOffset>
            </wp:positionV>
            <wp:extent cx="2790825" cy="3689985"/>
            <wp:effectExtent l="0" t="0" r="9525" b="5715"/>
            <wp:wrapTopAndBottom/>
            <wp:docPr id="2" name="图片 2" descr="f688cac5f4ad197e5ed9adbe946d0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88cac5f4ad197e5ed9adbe946d04ef"/>
                    <pic:cNvPicPr>
                      <a:picLocks noChangeAspect="1"/>
                    </pic:cNvPicPr>
                  </pic:nvPicPr>
                  <pic:blipFill>
                    <a:blip r:embed="rId6"/>
                    <a:srcRect l="4211" t="28581" r="9798" b="1912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b/>
          <w:bCs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highlight w:val="none"/>
          <w:lang w:val="en-US" w:eastAsia="zh-CN"/>
        </w:rPr>
        <w:t>（四）病历车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1.车体由ABS工程塑料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组成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，病历车台面、抽屉为ABS材质，塑钢立柱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，台面上配透明软玻璃；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2.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具有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抽屉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，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正面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具有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双列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≥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50格，有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相应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的标识序号，标识数字清晰；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3.车体底部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具有ABS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万向静音轮，其中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≥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两只带刹车功能；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4.配有安全锁以确保病历夹资料安全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5.配有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不少于对应数量的</w:t>
      </w:r>
      <w:r>
        <w:rPr>
          <w:rFonts w:hint="default" w:ascii="宋体" w:hAnsi="宋体" w:eastAsia="宋体" w:cs="Times New Roman"/>
          <w:sz w:val="24"/>
          <w:highlight w:val="none"/>
          <w:lang w:val="en-US" w:eastAsia="zh-CN"/>
        </w:rPr>
        <w:t>病历夹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参考图片：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20" w:firstLineChars="1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81915</wp:posOffset>
            </wp:positionV>
            <wp:extent cx="2629535" cy="3390900"/>
            <wp:effectExtent l="0" t="0" r="18415" b="0"/>
            <wp:wrapTopAndBottom/>
            <wp:docPr id="3" name="图片 3" descr="70005d9084698d7a71669cd0ee0ee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005d9084698d7a71669cd0ee0eeb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三、商务要求</w:t>
      </w:r>
    </w:p>
    <w:p>
      <w:pPr>
        <w:keepNext w:val="0"/>
        <w:keepLines w:val="0"/>
        <w:pageBreakBefore w:val="0"/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center"/>
        <w:textAlignment w:val="auto"/>
        <w:outlineLvl w:val="2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（本项目商务要求为不允许负偏离的实质性要求和条件）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1.所有货物（包括零部件）须为全新的、未使用过的原装正品；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2.产品质保期：成交供应商须提供产品（含易损件消耗品）至少</w:t>
      </w:r>
      <w:r>
        <w:rPr>
          <w:rFonts w:hint="eastAsia" w:ascii="宋体" w:hAnsi="宋体" w:eastAsia="宋体" w:cs="Times New Roman"/>
          <w:sz w:val="24"/>
          <w:highlight w:val="yellow"/>
          <w:lang w:val="en-US" w:eastAsia="zh-CN"/>
        </w:rPr>
        <w:t>2年</w:t>
      </w: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的质保期（自验收合格之日起计算）。质保期内出现质量问题，成交供应商负责包修、包退、包换，所有质保费用均已包含在总报价中；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3.签订合同后15个日历日内完成供货及安装验收；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default" w:ascii="宋体" w:hAnsi="宋体" w:eastAsia="宋体" w:cs="Times New Roman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24"/>
          <w:highlight w:val="none"/>
          <w:lang w:val="en-US" w:eastAsia="zh-CN"/>
        </w:rPr>
        <w:t>4.验收合格后支付合同总金额的100%。</w:t>
      </w:r>
    </w:p>
    <w:sectPr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232746"/>
    <w:multiLevelType w:val="singleLevel"/>
    <w:tmpl w:val="142327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E05EA"/>
    <w:rsid w:val="32103FBD"/>
    <w:rsid w:val="697B45FB"/>
    <w:rsid w:val="6A3D4D01"/>
    <w:rsid w:val="6B4C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spacing w:after="120" w:line="480" w:lineRule="auto"/>
      <w:ind w:left="420" w:leftChars="200"/>
    </w:pPr>
    <w:rPr>
      <w:kern w:val="0"/>
      <w:sz w:val="20"/>
      <w:szCs w:val="20"/>
    </w:rPr>
  </w:style>
  <w:style w:type="paragraph" w:styleId="3">
    <w:name w:val="List"/>
    <w:basedOn w:val="1"/>
    <w:qFormat/>
    <w:uiPriority w:val="0"/>
    <w:pPr>
      <w:ind w:left="200" w:hanging="200" w:hangingChars="200"/>
    </w:pPr>
    <w:rPr>
      <w:rFonts w:ascii="Calibri" w:hAnsi="Calibri"/>
      <w:szCs w:val="2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2026-03-23T07:47:00Z</dcterms:created>
  <dc:creator>Administrator</dc:creator>
  <cp:lastModifiedBy>绝世撒旦</cp:lastModifiedBy>
  <dcterms:modified xsi:type="dcterms:W3CDTF">2026-04-01T11:33:24Z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KSOTemplateDocerSaveRecord">
    <vt:lpwstr>eyJoZGlkIjoiNTBhODE0ZGIyMjAyMmQ2M2VmMmIzNjQxNDg4ZDRlMTYiLCJ1c2VySWQiOiI3MDg0MDI0MDgifQ==</vt:lpwstr>
  </property>
  <property fmtid="{D5CDD505-2E9C-101B-9397-08002B2CF9AE}" pid="4" name="ICV">
    <vt:lpwstr>26DFEF87FBFA442E9BC9629469C68B71</vt:lpwstr>
  </property>
</Properties>
</file>