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71981">
      <w:pPr>
        <w:keepNext w:val="0"/>
        <w:keepLines w:val="0"/>
        <w:pageBreakBefore w:val="0"/>
        <w:widowControl w:val="0"/>
        <w:kinsoku/>
        <w:wordWrap/>
        <w:overflowPunct/>
        <w:topLinePunct w:val="0"/>
        <w:autoSpaceDE/>
        <w:autoSpaceDN/>
        <w:bidi w:val="0"/>
        <w:adjustRightInd/>
        <w:snapToGrid/>
        <w:spacing w:line="540" w:lineRule="exact"/>
        <w:ind w:firstLine="723" w:firstLineChars="200"/>
        <w:jc w:val="center"/>
        <w:textAlignment w:val="auto"/>
        <w:rPr>
          <w:rFonts w:hint="default" w:ascii="仿宋_GB2312" w:hAnsi="仿宋_GB2312" w:eastAsia="仿宋_GB2312" w:cs="仿宋_GB2312"/>
          <w:sz w:val="36"/>
          <w:szCs w:val="36"/>
          <w:lang w:val="en-US" w:eastAsia="zh-CN"/>
        </w:rPr>
      </w:pPr>
      <w:r>
        <w:rPr>
          <w:rFonts w:hint="eastAsia" w:ascii="方正小标宋简体" w:hAnsi="方正小标宋简体" w:eastAsia="方正小标宋简体" w:cs="方正小标宋简体"/>
          <w:b/>
          <w:bCs/>
          <w:sz w:val="36"/>
          <w:szCs w:val="36"/>
          <w:lang w:val="en-US" w:eastAsia="zh-CN"/>
        </w:rPr>
        <w:t>马鞍山市中医院模拟人一批采购清单及相关要求</w:t>
      </w:r>
    </w:p>
    <w:p w14:paraId="71264A4A">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sz w:val="32"/>
          <w:szCs w:val="32"/>
          <w:lang w:val="en-US" w:eastAsia="zh-CN"/>
        </w:rPr>
      </w:pPr>
    </w:p>
    <w:p w14:paraId="2A16AD72">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一、采购清单</w:t>
      </w:r>
    </w:p>
    <w:tbl>
      <w:tblPr>
        <w:tblStyle w:val="6"/>
        <w:tblW w:w="92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1716"/>
        <w:gridCol w:w="4016"/>
        <w:gridCol w:w="457"/>
        <w:gridCol w:w="457"/>
        <w:gridCol w:w="1056"/>
        <w:gridCol w:w="1956"/>
      </w:tblGrid>
      <w:tr w14:paraId="419F0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428" w:type="dxa"/>
            <w:tcBorders>
              <w:top w:val="single" w:color="000000" w:sz="4" w:space="0"/>
              <w:left w:val="single" w:color="000000" w:sz="4" w:space="0"/>
              <w:bottom w:val="single" w:color="000000" w:sz="4" w:space="0"/>
              <w:right w:val="single" w:color="000000" w:sz="4" w:space="0"/>
            </w:tcBorders>
            <w:shd w:val="clear" w:color="auto" w:fill="FED96E"/>
            <w:noWrap/>
            <w:vAlign w:val="center"/>
          </w:tcPr>
          <w:p w14:paraId="018F961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24" w:type="dxa"/>
            <w:tcBorders>
              <w:top w:val="single" w:color="000000" w:sz="4" w:space="0"/>
              <w:left w:val="single" w:color="000000" w:sz="4" w:space="0"/>
              <w:bottom w:val="single" w:color="000000" w:sz="4" w:space="0"/>
              <w:right w:val="single" w:color="000000" w:sz="4" w:space="0"/>
            </w:tcBorders>
            <w:shd w:val="clear" w:color="auto" w:fill="FED96E"/>
            <w:noWrap/>
            <w:vAlign w:val="center"/>
          </w:tcPr>
          <w:p w14:paraId="536621A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4016" w:type="dxa"/>
            <w:tcBorders>
              <w:top w:val="single" w:color="000000" w:sz="4" w:space="0"/>
              <w:left w:val="single" w:color="000000" w:sz="4" w:space="0"/>
              <w:bottom w:val="single" w:color="000000" w:sz="4" w:space="0"/>
              <w:right w:val="single" w:color="000000" w:sz="4" w:space="0"/>
            </w:tcBorders>
            <w:shd w:val="clear" w:color="auto" w:fill="FED96E"/>
            <w:noWrap/>
            <w:vAlign w:val="center"/>
          </w:tcPr>
          <w:p w14:paraId="2C247E8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c>
          <w:tcPr>
            <w:tcW w:w="409" w:type="dxa"/>
            <w:tcBorders>
              <w:top w:val="nil"/>
              <w:left w:val="single" w:color="000000" w:sz="4" w:space="0"/>
              <w:bottom w:val="single" w:color="000000" w:sz="4" w:space="0"/>
              <w:right w:val="single" w:color="000000" w:sz="4" w:space="0"/>
            </w:tcBorders>
            <w:shd w:val="clear" w:color="auto" w:fill="FED96E"/>
            <w:noWrap/>
            <w:vAlign w:val="center"/>
          </w:tcPr>
          <w:p w14:paraId="2A000E0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409" w:type="dxa"/>
            <w:tcBorders>
              <w:top w:val="nil"/>
              <w:left w:val="single" w:color="000000" w:sz="4" w:space="0"/>
              <w:bottom w:val="single" w:color="000000" w:sz="4" w:space="0"/>
              <w:right w:val="single" w:color="000000" w:sz="4" w:space="0"/>
            </w:tcBorders>
            <w:shd w:val="clear" w:color="auto" w:fill="FED96E"/>
            <w:noWrap/>
            <w:vAlign w:val="center"/>
          </w:tcPr>
          <w:p w14:paraId="35D17A5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20" w:type="dxa"/>
            <w:tcBorders>
              <w:top w:val="nil"/>
              <w:left w:val="single" w:color="000000" w:sz="4" w:space="0"/>
              <w:bottom w:val="single" w:color="000000" w:sz="4" w:space="0"/>
              <w:right w:val="single" w:color="000000" w:sz="4" w:space="0"/>
            </w:tcBorders>
            <w:shd w:val="clear" w:color="auto" w:fill="FED96E"/>
            <w:noWrap/>
            <w:vAlign w:val="center"/>
          </w:tcPr>
          <w:p w14:paraId="017D845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最高限制单价(元)</w:t>
            </w:r>
          </w:p>
        </w:tc>
        <w:tc>
          <w:tcPr>
            <w:tcW w:w="1751" w:type="dxa"/>
            <w:tcBorders>
              <w:top w:val="nil"/>
              <w:left w:val="single" w:color="000000" w:sz="4" w:space="0"/>
              <w:bottom w:val="single" w:color="000000" w:sz="4" w:space="0"/>
              <w:right w:val="single" w:color="000000" w:sz="4" w:space="0"/>
            </w:tcBorders>
            <w:shd w:val="clear" w:color="auto" w:fill="FED96E"/>
            <w:noWrap/>
            <w:vAlign w:val="center"/>
          </w:tcPr>
          <w:p w14:paraId="0ED1F0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参考图片</w:t>
            </w:r>
          </w:p>
        </w:tc>
      </w:tr>
      <w:tr w14:paraId="28044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90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78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直肠指诊检查模型</w:t>
            </w:r>
          </w:p>
        </w:tc>
        <w:tc>
          <w:tcPr>
            <w:tcW w:w="4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B7E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前列腺触诊：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正常前列腺：模拟栗子大小，横径4cm，垂直径3cm，前后径2cm。前列腺体的后面中间有一纵行的浅沟即前列腺沟；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良性前列腺增生：前列腺I度增生，前列腺肿大，模拟鸡蛋大小，前列腺后面平坦，中间沟变浅；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良性前列腺增生：前列腺II度增生，前列腺中度肿大，模拟鸭蛋大小，前列腺中间沟消失；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良性前列腺增生：前列腺III度增生，前列腺重度肿大，表面规则，质地硬，模拟鹅蛋大小，前列腺底部不能触及；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直肠触诊：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正常直肠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直肠息肉：直肠后壁表面可触及结节肿块，质地较硬；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直肠癌早期：直肠后壁表面可触及结节肿块，表面凹凸不平。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9D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B0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13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ED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23495</wp:posOffset>
                  </wp:positionH>
                  <wp:positionV relativeFrom="paragraph">
                    <wp:posOffset>642620</wp:posOffset>
                  </wp:positionV>
                  <wp:extent cx="1104900" cy="1104900"/>
                  <wp:effectExtent l="0" t="0" r="0" b="0"/>
                  <wp:wrapNone/>
                  <wp:docPr id="6" name="1770879980544"/>
                  <wp:cNvGraphicFramePr/>
                  <a:graphic xmlns:a="http://schemas.openxmlformats.org/drawingml/2006/main">
                    <a:graphicData uri="http://schemas.openxmlformats.org/drawingml/2006/picture">
                      <pic:pic xmlns:pic="http://schemas.openxmlformats.org/drawingml/2006/picture">
                        <pic:nvPicPr>
                          <pic:cNvPr id="6" name="1770879980544"/>
                          <pic:cNvPicPr/>
                        </pic:nvPicPr>
                        <pic:blipFill>
                          <a:blip r:embed="rId4"/>
                          <a:stretch>
                            <a:fillRect/>
                          </a:stretch>
                        </pic:blipFill>
                        <pic:spPr>
                          <a:xfrm>
                            <a:off x="0" y="0"/>
                            <a:ext cx="1104900" cy="1104900"/>
                          </a:xfrm>
                          <a:prstGeom prst="rect">
                            <a:avLst/>
                          </a:prstGeom>
                          <a:noFill/>
                          <a:ln>
                            <a:noFill/>
                          </a:ln>
                        </pic:spPr>
                      </pic:pic>
                    </a:graphicData>
                  </a:graphic>
                </wp:anchor>
              </w:drawing>
            </w:r>
          </w:p>
        </w:tc>
      </w:tr>
      <w:tr w14:paraId="6BE93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11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6A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乙状结肠镜检查模型</w:t>
            </w:r>
          </w:p>
        </w:tc>
        <w:tc>
          <w:tcPr>
            <w:tcW w:w="4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7A2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1.乙状结肠镜检查操作模型采用高分子材料制成。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2.模型为仰卧位时结肠状态，仿照真实人体尺寸制作，包含乙状结肠、降结肠、脾曲、横结肠、肝曲、升结肠、盲肠及阑尾。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3.提供多种肠道病变供示教与练习。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4.可观察大肠轮廓和肠腔内结构，适用于各种直径规格的下消化道内窥镜检查。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5.通过肠镜可观察肠腔内良性增生性结肠息肉，病变部位、肿块形态和大小等。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6.通过肠镜可观察肠腔内恶性结肠癌，病变部位、肿块形态和大小等。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7.模型配有底座。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8.可反复进行练习。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F9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79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C1D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4300.00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2E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13970</wp:posOffset>
                  </wp:positionH>
                  <wp:positionV relativeFrom="paragraph">
                    <wp:posOffset>13970</wp:posOffset>
                  </wp:positionV>
                  <wp:extent cx="1009015" cy="1780540"/>
                  <wp:effectExtent l="0" t="0" r="0" b="0"/>
                  <wp:wrapNone/>
                  <wp:docPr id="5" name="1770880004217"/>
                  <wp:cNvGraphicFramePr/>
                  <a:graphic xmlns:a="http://schemas.openxmlformats.org/drawingml/2006/main">
                    <a:graphicData uri="http://schemas.openxmlformats.org/drawingml/2006/picture">
                      <pic:pic xmlns:pic="http://schemas.openxmlformats.org/drawingml/2006/picture">
                        <pic:nvPicPr>
                          <pic:cNvPr id="5" name="1770880004217"/>
                          <pic:cNvPicPr/>
                        </pic:nvPicPr>
                        <pic:blipFill>
                          <a:blip r:embed="rId5"/>
                          <a:stretch>
                            <a:fillRect/>
                          </a:stretch>
                        </pic:blipFill>
                        <pic:spPr>
                          <a:xfrm>
                            <a:off x="0" y="0"/>
                            <a:ext cx="1009015" cy="1780540"/>
                          </a:xfrm>
                          <a:prstGeom prst="rect">
                            <a:avLst/>
                          </a:prstGeom>
                          <a:noFill/>
                          <a:ln>
                            <a:noFill/>
                          </a:ln>
                        </pic:spPr>
                      </pic:pic>
                    </a:graphicData>
                  </a:graphic>
                </wp:anchor>
              </w:drawing>
            </w:r>
          </w:p>
        </w:tc>
      </w:tr>
      <w:tr w14:paraId="13B70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2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0C1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外科缝合包扎展示模型</w:t>
            </w:r>
          </w:p>
        </w:tc>
        <w:tc>
          <w:tcPr>
            <w:tcW w:w="4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81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模拟成年躯干模型，上至颈部，下至大腿上1/3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解剖结构明显，便于示教讲解，包括：锁骨、乳房、胸骨、肋弓、髂前上棘、脐、肩胛骨、脊柱、臀裂等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可进行手术切口的部位与缝合展示，≥25处切口设计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PVC材料制成，耐磨耐腐蚀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C9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41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E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DAB0">
            <w:pPr>
              <w:jc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439420</wp:posOffset>
                  </wp:positionV>
                  <wp:extent cx="1104900" cy="799465"/>
                  <wp:effectExtent l="0" t="0" r="0" b="0"/>
                  <wp:wrapNone/>
                  <wp:docPr id="1" name="399a064a-ec50-4ef8-b523-1f29e86d8afa"/>
                  <wp:cNvGraphicFramePr/>
                  <a:graphic xmlns:a="http://schemas.openxmlformats.org/drawingml/2006/main">
                    <a:graphicData uri="http://schemas.openxmlformats.org/drawingml/2006/picture">
                      <pic:pic xmlns:pic="http://schemas.openxmlformats.org/drawingml/2006/picture">
                        <pic:nvPicPr>
                          <pic:cNvPr id="1" name="399a064a-ec50-4ef8-b523-1f29e86d8afa"/>
                          <pic:cNvPicPr/>
                        </pic:nvPicPr>
                        <pic:blipFill>
                          <a:blip r:embed="rId6"/>
                          <a:stretch>
                            <a:fillRect/>
                          </a:stretch>
                        </pic:blipFill>
                        <pic:spPr>
                          <a:xfrm>
                            <a:off x="0" y="0"/>
                            <a:ext cx="1104900" cy="799465"/>
                          </a:xfrm>
                          <a:prstGeom prst="rect">
                            <a:avLst/>
                          </a:prstGeom>
                          <a:noFill/>
                          <a:ln>
                            <a:noFill/>
                          </a:ln>
                        </pic:spPr>
                      </pic:pic>
                    </a:graphicData>
                  </a:graphic>
                </wp:anchor>
              </w:drawing>
            </w:r>
          </w:p>
        </w:tc>
      </w:tr>
      <w:tr w14:paraId="590CF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64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30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二节腰椎带2个椎间盘突出</w:t>
            </w:r>
          </w:p>
        </w:tc>
        <w:tc>
          <w:tcPr>
            <w:tcW w:w="4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299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自然大小，由两节病变椎间盘固定于底板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0D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0C3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9BC2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C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1019810" cy="1019810"/>
                  <wp:effectExtent l="0" t="0" r="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7"/>
                          <a:stretch>
                            <a:fillRect/>
                          </a:stretch>
                        </pic:blipFill>
                        <pic:spPr>
                          <a:xfrm>
                            <a:off x="0" y="0"/>
                            <a:ext cx="1019810" cy="1019810"/>
                          </a:xfrm>
                          <a:prstGeom prst="rect">
                            <a:avLst/>
                          </a:prstGeom>
                          <a:noFill/>
                          <a:ln w="9525">
                            <a:noFill/>
                          </a:ln>
                        </pic:spPr>
                      </pic:pic>
                    </a:graphicData>
                  </a:graphic>
                </wp:inline>
              </w:drawing>
            </w:r>
          </w:p>
        </w:tc>
      </w:tr>
      <w:tr w14:paraId="4B7B7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3A6C">
            <w:pPr>
              <w:jc w:val="center"/>
              <w:rPr>
                <w:rFonts w:hint="eastAsia" w:ascii="宋体" w:hAnsi="宋体" w:eastAsia="宋体" w:cs="宋体"/>
                <w:i w:val="0"/>
                <w:iCs w:val="0"/>
                <w:color w:val="000000"/>
                <w:sz w:val="24"/>
                <w:szCs w:val="24"/>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01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正常腰椎组合（二节）</w:t>
            </w:r>
          </w:p>
        </w:tc>
        <w:tc>
          <w:tcPr>
            <w:tcW w:w="4016" w:type="dxa"/>
            <w:tcBorders>
              <w:top w:val="nil"/>
              <w:left w:val="nil"/>
              <w:bottom w:val="nil"/>
              <w:right w:val="nil"/>
            </w:tcBorders>
            <w:shd w:val="clear" w:color="auto" w:fill="auto"/>
            <w:vAlign w:val="center"/>
          </w:tcPr>
          <w:p w14:paraId="209B1A68">
            <w:pPr>
              <w:keepNext w:val="0"/>
              <w:keepLines w:val="0"/>
              <w:widowControl/>
              <w:suppressLineNumbers w:val="0"/>
              <w:jc w:val="left"/>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color w:val="231F20"/>
                <w:kern w:val="0"/>
                <w:sz w:val="24"/>
                <w:szCs w:val="24"/>
                <w:u w:val="none"/>
                <w:lang w:val="en-US" w:eastAsia="zh-CN" w:bidi="ar"/>
              </w:rPr>
              <w:t>自然大小，腰椎显示正常腰椎、椎间盘和神经根。有底座。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BE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B6A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C98F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30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809625" cy="838200"/>
                  <wp:effectExtent l="0" t="0" r="9525" b="0"/>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8"/>
                          <a:stretch>
                            <a:fillRect/>
                          </a:stretch>
                        </pic:blipFill>
                        <pic:spPr>
                          <a:xfrm>
                            <a:off x="0" y="0"/>
                            <a:ext cx="809625" cy="838200"/>
                          </a:xfrm>
                          <a:prstGeom prst="rect">
                            <a:avLst/>
                          </a:prstGeom>
                          <a:noFill/>
                          <a:ln w="9525">
                            <a:noFill/>
                          </a:ln>
                        </pic:spPr>
                      </pic:pic>
                    </a:graphicData>
                  </a:graphic>
                </wp:inline>
              </w:drawing>
            </w:r>
          </w:p>
        </w:tc>
      </w:tr>
      <w:tr w14:paraId="12E9A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94BE">
            <w:pPr>
              <w:jc w:val="center"/>
              <w:rPr>
                <w:rFonts w:hint="eastAsia" w:ascii="宋体" w:hAnsi="宋体" w:eastAsia="宋体" w:cs="宋体"/>
                <w:i w:val="0"/>
                <w:iCs w:val="0"/>
                <w:color w:val="000000"/>
                <w:sz w:val="24"/>
                <w:szCs w:val="24"/>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1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五节腰椎带骶骨可打开</w:t>
            </w:r>
          </w:p>
        </w:tc>
        <w:tc>
          <w:tcPr>
            <w:tcW w:w="4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98B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五节腰椎、骶骨及脊神经（骶骨可打开）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F3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02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C4C2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F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1104900" cy="1104900"/>
                  <wp:effectExtent l="0" t="0" r="0" b="0"/>
                  <wp:docPr id="7"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IMG_258"/>
                          <pic:cNvPicPr>
                            <a:picLocks noChangeAspect="1"/>
                          </pic:cNvPicPr>
                        </pic:nvPicPr>
                        <pic:blipFill>
                          <a:blip r:embed="rId9"/>
                          <a:stretch>
                            <a:fillRect/>
                          </a:stretch>
                        </pic:blipFill>
                        <pic:spPr>
                          <a:xfrm>
                            <a:off x="0" y="0"/>
                            <a:ext cx="1104900" cy="1104900"/>
                          </a:xfrm>
                          <a:prstGeom prst="rect">
                            <a:avLst/>
                          </a:prstGeom>
                          <a:noFill/>
                          <a:ln w="9525">
                            <a:noFill/>
                          </a:ln>
                        </pic:spPr>
                      </pic:pic>
                    </a:graphicData>
                  </a:graphic>
                </wp:inline>
              </w:drawing>
            </w:r>
          </w:p>
        </w:tc>
      </w:tr>
      <w:tr w14:paraId="7CA7C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0940">
            <w:pPr>
              <w:jc w:val="center"/>
              <w:rPr>
                <w:rFonts w:hint="eastAsia" w:ascii="宋体" w:hAnsi="宋体" w:eastAsia="宋体" w:cs="宋体"/>
                <w:i w:val="0"/>
                <w:iCs w:val="0"/>
                <w:color w:val="000000"/>
                <w:sz w:val="24"/>
                <w:szCs w:val="24"/>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D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枕骨带颈椎</w:t>
            </w:r>
          </w:p>
        </w:tc>
        <w:tc>
          <w:tcPr>
            <w:tcW w:w="4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EB6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为颈椎、枕骨及脊髓穿制模型，带椎动脉和脊神经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38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503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2762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C6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1104900" cy="1104900"/>
                  <wp:effectExtent l="0" t="0" r="0" b="0"/>
                  <wp:docPr id="8"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IMG_259"/>
                          <pic:cNvPicPr>
                            <a:picLocks noChangeAspect="1"/>
                          </pic:cNvPicPr>
                        </pic:nvPicPr>
                        <pic:blipFill>
                          <a:blip r:embed="rId10"/>
                          <a:stretch>
                            <a:fillRect/>
                          </a:stretch>
                        </pic:blipFill>
                        <pic:spPr>
                          <a:xfrm>
                            <a:off x="0" y="0"/>
                            <a:ext cx="1104900" cy="1104900"/>
                          </a:xfrm>
                          <a:prstGeom prst="rect">
                            <a:avLst/>
                          </a:prstGeom>
                          <a:noFill/>
                          <a:ln w="9525">
                            <a:noFill/>
                          </a:ln>
                        </pic:spPr>
                      </pic:pic>
                    </a:graphicData>
                  </a:graphic>
                </wp:inline>
              </w:drawing>
            </w:r>
          </w:p>
        </w:tc>
      </w:tr>
      <w:tr w14:paraId="73A74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486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93B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12节胸椎模型</w:t>
            </w:r>
          </w:p>
        </w:tc>
        <w:tc>
          <w:tcPr>
            <w:tcW w:w="4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4B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 12 节胸椎与椎间盘，脊神经和脊椎组成，有底座。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A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4E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1DC9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6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600075" cy="847725"/>
                  <wp:effectExtent l="0" t="0" r="9525" b="9525"/>
                  <wp:docPr id="2"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60"/>
                          <pic:cNvPicPr>
                            <a:picLocks noChangeAspect="1"/>
                          </pic:cNvPicPr>
                        </pic:nvPicPr>
                        <pic:blipFill>
                          <a:blip r:embed="rId11"/>
                          <a:stretch>
                            <a:fillRect/>
                          </a:stretch>
                        </pic:blipFill>
                        <pic:spPr>
                          <a:xfrm>
                            <a:off x="0" y="0"/>
                            <a:ext cx="600075" cy="847725"/>
                          </a:xfrm>
                          <a:prstGeom prst="rect">
                            <a:avLst/>
                          </a:prstGeom>
                          <a:noFill/>
                          <a:ln w="9525">
                            <a:noFill/>
                          </a:ln>
                        </pic:spPr>
                      </pic:pic>
                    </a:graphicData>
                  </a:graphic>
                </wp:inline>
              </w:drawing>
            </w:r>
          </w:p>
        </w:tc>
      </w:tr>
    </w:tbl>
    <w:p w14:paraId="3CF9FD1A">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
          <w:bCs/>
          <w:sz w:val="28"/>
          <w:szCs w:val="28"/>
          <w:lang w:val="en-US" w:eastAsia="zh-CN"/>
        </w:rPr>
      </w:pPr>
    </w:p>
    <w:p w14:paraId="41F0461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highlight w:val="none"/>
          <w:lang w:val="en-US" w:eastAsia="zh-CN"/>
        </w:rPr>
        <w:t>商务要求</w:t>
      </w:r>
    </w:p>
    <w:p w14:paraId="5B651B21">
      <w:pPr>
        <w:keepNext w:val="0"/>
        <w:keepLines w:val="0"/>
        <w:pageBreakBefore w:val="0"/>
        <w:tabs>
          <w:tab w:val="left" w:pos="1050"/>
        </w:tabs>
        <w:kinsoku/>
        <w:wordWrap/>
        <w:overflowPunct/>
        <w:topLinePunct w:val="0"/>
        <w:autoSpaceDE/>
        <w:autoSpaceDN/>
        <w:bidi w:val="0"/>
        <w:adjustRightInd/>
        <w:spacing w:line="400" w:lineRule="exact"/>
        <w:jc w:val="center"/>
        <w:textAlignment w:val="auto"/>
        <w:outlineLvl w:val="2"/>
        <w:rPr>
          <w:rFonts w:hint="eastAsia" w:ascii="宋体" w:hAnsi="宋体" w:eastAsia="宋体" w:cs="宋体"/>
          <w:b/>
          <w:color w:val="FF0000"/>
          <w:sz w:val="24"/>
          <w:szCs w:val="24"/>
          <w:highlight w:val="yellow"/>
        </w:rPr>
      </w:pPr>
      <w:r>
        <w:rPr>
          <w:rFonts w:hint="eastAsia" w:ascii="宋体" w:hAnsi="宋体" w:eastAsia="宋体" w:cs="宋体"/>
          <w:b/>
          <w:color w:val="FF0000"/>
          <w:sz w:val="24"/>
          <w:szCs w:val="24"/>
          <w:highlight w:val="yellow"/>
        </w:rPr>
        <w:t>（本项目商务要求为不允许负偏离的实质性要求和条件）</w:t>
      </w:r>
    </w:p>
    <w:p w14:paraId="435825E2">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1、所有货物（包括零部件）须为全新的、未使用过的原装正品。</w:t>
      </w:r>
    </w:p>
    <w:p w14:paraId="4B2F576C">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2、所有货物必须符合国家相关强制性要求。</w:t>
      </w:r>
    </w:p>
    <w:p w14:paraId="151FDAF8">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3、技术支持</w:t>
      </w:r>
    </w:p>
    <w:p w14:paraId="6BA9B554">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3.1成交供应商应向采购人提供全方位及时而有效的技术支持和服务。</w:t>
      </w:r>
    </w:p>
    <w:p w14:paraId="0434A95D">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3.2成交供应商负责供货、运输并安装调试完毕。</w:t>
      </w:r>
    </w:p>
    <w:p w14:paraId="3E025973">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3.3 如成交供应商发生兼并、重组，采购人本项目的供货、安装、维护保养等相关工作必须由新组建的公司按采购文件及响应文件承担相应的义务。</w:t>
      </w:r>
    </w:p>
    <w:p w14:paraId="27DE090D">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3.4 成交供应商在项目实施过程中，国家对相关项目有资质要求的，进场单位和人员的资质、资格符合国家、省、市有关规定。实施期间成交供应商所发生的或成交供应商实施场地内发生的或成交供应商原因造成的安全事故，均应由成交供应商负责按有关规定处理善后事宜，并承担给采购人造成的损失。</w:t>
      </w:r>
    </w:p>
    <w:p w14:paraId="430C99C2">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 xml:space="preserve">4、产品质保期、服务期及售后服务：                                        </w:t>
      </w:r>
    </w:p>
    <w:p w14:paraId="6BAEDD9E">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yellow"/>
          <w:lang w:val="en-US" w:eastAsia="zh-CN"/>
        </w:rPr>
        <w:t>4.1产品质保期：</w:t>
      </w:r>
      <w:r>
        <w:rPr>
          <w:rFonts w:hint="eastAsia" w:ascii="宋体" w:hAnsi="宋体" w:eastAsia="宋体" w:cs="Times New Roman"/>
          <w:sz w:val="24"/>
          <w:highlight w:val="yellow"/>
          <w:lang w:val="en-US" w:eastAsia="zh-CN"/>
        </w:rPr>
        <w:t>成交供应商须提供产品（含易损件消耗品）至少</w:t>
      </w:r>
      <w:r>
        <w:rPr>
          <w:rFonts w:hint="eastAsia" w:ascii="宋体" w:hAnsi="宋体" w:eastAsia="宋体" w:cs="Times New Roman"/>
          <w:sz w:val="24"/>
          <w:highlight w:val="yellow"/>
          <w:u w:val="single"/>
          <w:lang w:val="en-US" w:eastAsia="zh-CN"/>
        </w:rPr>
        <w:t>2</w:t>
      </w:r>
      <w:r>
        <w:rPr>
          <w:rFonts w:hint="eastAsia" w:ascii="宋体" w:hAnsi="宋体" w:eastAsia="宋体" w:cs="Times New Roman"/>
          <w:sz w:val="24"/>
          <w:highlight w:val="yellow"/>
          <w:lang w:val="en-US" w:eastAsia="zh-CN"/>
        </w:rPr>
        <w:t>年的质保期（自验收合格之日起计算）</w:t>
      </w:r>
      <w:r>
        <w:rPr>
          <w:rFonts w:hint="eastAsia" w:ascii="宋体" w:hAnsi="宋体" w:cs="Times New Roman"/>
          <w:sz w:val="24"/>
          <w:highlight w:val="yellow"/>
          <w:lang w:val="en-US" w:eastAsia="zh-CN"/>
        </w:rPr>
        <w:t>。</w:t>
      </w:r>
      <w:r>
        <w:rPr>
          <w:rFonts w:hint="eastAsia" w:ascii="宋体" w:hAnsi="宋体" w:eastAsia="宋体" w:cs="Times New Roman"/>
          <w:sz w:val="24"/>
          <w:highlight w:val="none"/>
          <w:lang w:val="en-US" w:eastAsia="zh-CN"/>
        </w:rPr>
        <w:t>质保期内出现质量问题，成交供应商负责包修、包退、包换，所有质保费用均已包含在总报价中。</w:t>
      </w:r>
    </w:p>
    <w:p w14:paraId="2EB00BC4">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 xml:space="preserve">4.2成交供应商须设有维修服务电话，负责解答用户在货物使用中遇到的问题，及时提出解决问题的建议和操作方法。                                                                        </w:t>
      </w:r>
    </w:p>
    <w:p w14:paraId="49886A77">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4.3售后服务响应时间：如货物出现质量问题，成交供应商须1小时内响应，电话响应无法解决，成交供应商必须在接报修电话24小时内到达现场并在48小时内解决问题。如不能解决的，成交供应商需提供备品备件供采购人使用。质保期内如货物出现质量问题，成交供应商负责修复，对于无法修复的情况，成交供应商负责免费更换。</w:t>
      </w:r>
    </w:p>
    <w:p w14:paraId="133CB8EE">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5、培训：</w:t>
      </w:r>
    </w:p>
    <w:p w14:paraId="76078C3A">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5.1成交供应商应对采购人的操作人员免费提供现场培训。</w:t>
      </w:r>
    </w:p>
    <w:p w14:paraId="153F4241">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5.2现场培训能够根据用户需要，合理安排，使用户能够全面掌握设备的工作原理，熟练独立操作设备，并能够对设备进行日常维护与保养，简单故障诊断与排除。</w:t>
      </w:r>
    </w:p>
    <w:p w14:paraId="0A3D7048">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bCs/>
          <w:sz w:val="24"/>
          <w:highlight w:val="none"/>
          <w:lang w:val="en-US" w:eastAsia="zh-CN"/>
        </w:rPr>
      </w:pPr>
      <w:r>
        <w:rPr>
          <w:rFonts w:hint="eastAsia" w:ascii="宋体" w:hAnsi="宋体" w:eastAsia="宋体" w:cs="Times New Roman"/>
          <w:sz w:val="24"/>
          <w:highlight w:val="none"/>
          <w:lang w:val="en-US" w:eastAsia="zh-CN"/>
        </w:rPr>
        <w:t xml:space="preserve">5.3以上培训费用含在总报价中。 </w:t>
      </w:r>
    </w:p>
    <w:p w14:paraId="13EEF817">
      <w:pPr>
        <w:keepNext w:val="0"/>
        <w:keepLines w:val="0"/>
        <w:pageBreakBefore w:val="0"/>
        <w:tabs>
          <w:tab w:val="left" w:pos="7020"/>
        </w:tabs>
        <w:kinsoku/>
        <w:wordWrap/>
        <w:overflowPunct/>
        <w:topLinePunct w:val="0"/>
        <w:autoSpaceDE/>
        <w:autoSpaceDN/>
        <w:bidi w:val="0"/>
        <w:adjustRightInd/>
        <w:spacing w:line="400" w:lineRule="exact"/>
        <w:ind w:firstLine="480" w:firstLineChars="200"/>
        <w:textAlignment w:val="auto"/>
        <w:outlineLvl w:val="0"/>
        <w:rPr>
          <w:rFonts w:hint="eastAsia" w:ascii="宋体" w:hAnsi="宋体" w:eastAsia="宋体" w:cs="Times New Roman"/>
          <w:sz w:val="24"/>
          <w:highlight w:val="yellow"/>
          <w:lang w:val="en-US" w:eastAsia="zh-CN"/>
        </w:rPr>
      </w:pPr>
      <w:r>
        <w:rPr>
          <w:rFonts w:hint="eastAsia" w:ascii="宋体" w:hAnsi="宋体" w:eastAsia="宋体" w:cs="Times New Roman"/>
          <w:sz w:val="24"/>
          <w:highlight w:val="yellow"/>
          <w:lang w:val="en-US" w:eastAsia="zh-CN"/>
        </w:rPr>
        <w:t>6、供货期：合同签订后，</w:t>
      </w:r>
      <w:r>
        <w:rPr>
          <w:rFonts w:hint="eastAsia" w:ascii="宋体" w:hAnsi="宋体" w:cs="Times New Roman"/>
          <w:sz w:val="24"/>
          <w:highlight w:val="yellow"/>
          <w:lang w:val="en-US" w:eastAsia="zh-CN"/>
        </w:rPr>
        <w:t>7</w:t>
      </w:r>
      <w:r>
        <w:rPr>
          <w:rFonts w:hint="eastAsia" w:ascii="宋体" w:hAnsi="宋体" w:eastAsia="宋体" w:cs="Times New Roman"/>
          <w:sz w:val="24"/>
          <w:highlight w:val="yellow"/>
          <w:lang w:val="en-US" w:eastAsia="zh-CN"/>
        </w:rPr>
        <w:t>个日历日内供货并安装调试完毕。</w:t>
      </w:r>
    </w:p>
    <w:p w14:paraId="2AD4479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7、供货地点：马鞍山市中医院（采购人指定地点）。</w:t>
      </w:r>
    </w:p>
    <w:p w14:paraId="01858003">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outlineLvl w:val="0"/>
        <w:rPr>
          <w:rFonts w:hint="eastAsia" w:ascii="宋体" w:hAnsi="宋体"/>
          <w:sz w:val="24"/>
          <w:highlight w:val="yellow"/>
        </w:rPr>
      </w:pPr>
      <w:r>
        <w:rPr>
          <w:rFonts w:hint="eastAsia" w:ascii="宋体" w:hAnsi="宋体" w:eastAsia="宋体" w:cs="Times New Roman"/>
          <w:sz w:val="24"/>
          <w:highlight w:val="yellow"/>
          <w:lang w:val="en-US" w:eastAsia="zh-CN"/>
        </w:rPr>
        <w:t>8、</w:t>
      </w:r>
      <w:r>
        <w:rPr>
          <w:rFonts w:hint="eastAsia" w:ascii="宋体" w:hAnsi="宋体" w:eastAsia="宋体" w:cs="Times New Roman"/>
          <w:sz w:val="24"/>
          <w:highlight w:val="yellow"/>
        </w:rPr>
        <w:t>付款方式：验收合格后支付合同总金额</w:t>
      </w:r>
      <w:r>
        <w:rPr>
          <w:rFonts w:hint="eastAsia" w:ascii="宋体" w:hAnsi="宋体" w:eastAsia="宋体" w:cs="Times New Roman"/>
          <w:sz w:val="24"/>
          <w:highlight w:val="yellow"/>
          <w:lang w:eastAsia="zh-CN"/>
        </w:rPr>
        <w:t>。</w:t>
      </w:r>
    </w:p>
    <w:p w14:paraId="66DE589D">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Times New Roman"/>
          <w:kern w:val="2"/>
          <w:sz w:val="24"/>
          <w:szCs w:val="22"/>
          <w:highlight w:val="none"/>
          <w:lang w:val="en-US" w:eastAsia="zh-CN" w:bidi="ar-SA"/>
        </w:rPr>
      </w:pPr>
      <w:r>
        <w:rPr>
          <w:rFonts w:hint="eastAsia" w:ascii="宋体" w:hAnsi="宋体" w:eastAsia="宋体" w:cs="Times New Roman"/>
          <w:kern w:val="2"/>
          <w:sz w:val="24"/>
          <w:szCs w:val="22"/>
          <w:highlight w:val="none"/>
          <w:lang w:val="en-US" w:eastAsia="zh-CN" w:bidi="ar-SA"/>
        </w:rPr>
        <w:t>9、本项目总投标价包含了交付使用前的全部费用</w:t>
      </w:r>
      <w:bookmarkStart w:id="0" w:name="_GoBack"/>
      <w:bookmarkEnd w:id="0"/>
      <w:r>
        <w:rPr>
          <w:rFonts w:hint="eastAsia" w:ascii="宋体" w:hAnsi="宋体" w:eastAsia="宋体" w:cs="Times New Roman"/>
          <w:kern w:val="2"/>
          <w:sz w:val="24"/>
          <w:szCs w:val="22"/>
          <w:highlight w:val="none"/>
          <w:lang w:val="en-US" w:eastAsia="zh-CN" w:bidi="ar-SA"/>
        </w:rPr>
        <w:t>，包括货物购置费（所有设备、辅材、零配件、易损件、备品备件及专用工具等）、调试费、人工费、交通费、食宿费、管理费、运输费、保险费、质保期内的维护维修费、培训费、验收费、其他费用及所有价内价外税金及合理利润等。</w:t>
      </w:r>
    </w:p>
    <w:p w14:paraId="13FEA11E">
      <w:pPr>
        <w:spacing w:line="520" w:lineRule="exact"/>
        <w:ind w:firstLine="480" w:firstLineChars="200"/>
        <w:outlineLvl w:val="0"/>
        <w:rPr>
          <w:rFonts w:hint="eastAsia" w:ascii="宋体" w:hAnsi="宋体"/>
          <w:sz w:val="24"/>
          <w:lang w:val="en-US" w:eastAsia="zh-CN"/>
        </w:rPr>
      </w:pPr>
    </w:p>
    <w:p w14:paraId="7C08DBA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default"/>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439F63AF">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C045C"/>
    <w:rsid w:val="05F17CC7"/>
    <w:rsid w:val="07774A96"/>
    <w:rsid w:val="08636D28"/>
    <w:rsid w:val="106A0846"/>
    <w:rsid w:val="112D0F17"/>
    <w:rsid w:val="11A45003"/>
    <w:rsid w:val="1329006F"/>
    <w:rsid w:val="14823F24"/>
    <w:rsid w:val="17237001"/>
    <w:rsid w:val="17C90D1B"/>
    <w:rsid w:val="19D95654"/>
    <w:rsid w:val="1AC00AF1"/>
    <w:rsid w:val="1AC50C80"/>
    <w:rsid w:val="1C2D5FDF"/>
    <w:rsid w:val="1D586F5A"/>
    <w:rsid w:val="1ECF4934"/>
    <w:rsid w:val="207200AE"/>
    <w:rsid w:val="20F32244"/>
    <w:rsid w:val="257D1CF8"/>
    <w:rsid w:val="25AD2E5D"/>
    <w:rsid w:val="26191490"/>
    <w:rsid w:val="27513348"/>
    <w:rsid w:val="276E66A3"/>
    <w:rsid w:val="2888687F"/>
    <w:rsid w:val="2C395783"/>
    <w:rsid w:val="2C3B5948"/>
    <w:rsid w:val="2D0577C8"/>
    <w:rsid w:val="2DE017E5"/>
    <w:rsid w:val="335D355A"/>
    <w:rsid w:val="350031D3"/>
    <w:rsid w:val="3B1E7EFD"/>
    <w:rsid w:val="3B2149C2"/>
    <w:rsid w:val="3B74606E"/>
    <w:rsid w:val="3E6469EA"/>
    <w:rsid w:val="430958B6"/>
    <w:rsid w:val="44C26ABC"/>
    <w:rsid w:val="48A81D40"/>
    <w:rsid w:val="4B8A2C62"/>
    <w:rsid w:val="4C812593"/>
    <w:rsid w:val="4CB72DC4"/>
    <w:rsid w:val="4E5C541F"/>
    <w:rsid w:val="4EE554B6"/>
    <w:rsid w:val="4F401DDC"/>
    <w:rsid w:val="4F453703"/>
    <w:rsid w:val="4FA47636"/>
    <w:rsid w:val="4FA520C6"/>
    <w:rsid w:val="4FE52ABE"/>
    <w:rsid w:val="518039B4"/>
    <w:rsid w:val="58302EBA"/>
    <w:rsid w:val="583974CB"/>
    <w:rsid w:val="595D0FCD"/>
    <w:rsid w:val="60E602A8"/>
    <w:rsid w:val="621C04D6"/>
    <w:rsid w:val="638914F8"/>
    <w:rsid w:val="6631721D"/>
    <w:rsid w:val="673C1CED"/>
    <w:rsid w:val="674E7D59"/>
    <w:rsid w:val="6A172972"/>
    <w:rsid w:val="6E3C337D"/>
    <w:rsid w:val="75536332"/>
    <w:rsid w:val="75D373DE"/>
    <w:rsid w:val="7848169A"/>
    <w:rsid w:val="7C0E7A1A"/>
    <w:rsid w:val="7C60211A"/>
    <w:rsid w:val="7E057D7A"/>
    <w:rsid w:val="7F6F0EAA"/>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rPr>
      <w:kern w:val="0"/>
      <w:sz w:val="20"/>
      <w:szCs w:val="20"/>
    </w:rPr>
  </w:style>
  <w:style w:type="paragraph" w:styleId="5">
    <w:name w:val="Body Text"/>
    <w:basedOn w:val="1"/>
    <w:semiHidden/>
    <w:qFormat/>
    <w:uiPriority w:val="0"/>
    <w:rPr>
      <w:rFonts w:ascii="宋体" w:hAnsi="宋体" w:eastAsia="宋体" w:cs="宋体"/>
      <w:sz w:val="24"/>
      <w:szCs w:val="24"/>
      <w:lang w:val="en-US" w:eastAsia="en-US"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Table Text"/>
    <w:basedOn w:val="1"/>
    <w:semiHidden/>
    <w:qFormat/>
    <w:uiPriority w:val="0"/>
    <w:rPr>
      <w:rFonts w:ascii="宋体" w:hAnsi="宋体" w:eastAsia="宋体" w:cs="宋体"/>
      <w:sz w:val="22"/>
      <w:szCs w:val="22"/>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683</Words>
  <Characters>735</Characters>
  <Lines>0</Lines>
  <Paragraphs>0</Paragraphs>
  <TotalTime>8</TotalTime>
  <ScaleCrop>false</ScaleCrop>
  <LinksUpToDate>false</LinksUpToDate>
  <CharactersWithSpaces>746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2021-04-12T14:11:00Z</dcterms:created>
  <dc:creator>Administrator</dc:creator>
  <cp:lastModifiedBy>莹莹</cp:lastModifiedBy>
  <cp:lastPrinted>2025-11-17T08:41:00Z</cp:lastPrinted>
  <dcterms:modified xsi:type="dcterms:W3CDTF">2026-03-19T08:55:08Z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B6C83F6CB1FC41E0A95A7E9D674A176A</vt:lpwstr>
  </property>
  <property fmtid="{D5CDD505-2E9C-101B-9397-08002B2CF9AE}" pid="4" name="KSOTemplateDocerSaveRecord">
    <vt:lpwstr>eyJoZGlkIjoiNDM3MTYzMDhhOTc5YTExMzg1YTM0MTdhNjM0ZDllMjgiLCJ1c2VySWQiOiI0MzkxNjI2NzYifQ==</vt:lpwstr>
  </property>
</Properties>
</file>