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1E33D">
      <w:pPr>
        <w:tabs>
          <w:tab w:val="left" w:pos="1050"/>
        </w:tabs>
        <w:spacing w:line="460" w:lineRule="exact"/>
        <w:jc w:val="center"/>
        <w:outlineLvl w:val="2"/>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马鞍山市中医院网络安全态势感知系统采购项目内容及相关要求</w:t>
      </w:r>
    </w:p>
    <w:p w14:paraId="5A35B2E7">
      <w:pPr>
        <w:tabs>
          <w:tab w:val="left" w:pos="1050"/>
        </w:tabs>
        <w:spacing w:line="460" w:lineRule="exact"/>
        <w:jc w:val="center"/>
        <w:outlineLvl w:val="2"/>
        <w:rPr>
          <w:rFonts w:hint="eastAsia" w:ascii="仿宋" w:hAnsi="仿宋" w:eastAsia="仿宋" w:cs="仿宋"/>
          <w:b/>
          <w:bCs w:val="0"/>
          <w:color w:val="FF0000"/>
          <w:kern w:val="2"/>
          <w:sz w:val="28"/>
          <w:szCs w:val="28"/>
          <w:highlight w:val="yellow"/>
          <w:lang w:val="en-US" w:eastAsia="zh-CN" w:bidi="ar-SA"/>
        </w:rPr>
      </w:pPr>
      <w:r>
        <w:rPr>
          <w:rFonts w:hint="eastAsia" w:ascii="仿宋" w:hAnsi="仿宋" w:eastAsia="仿宋" w:cs="仿宋"/>
          <w:b/>
          <w:bCs w:val="0"/>
          <w:color w:val="FF0000"/>
          <w:kern w:val="2"/>
          <w:sz w:val="28"/>
          <w:szCs w:val="28"/>
          <w:highlight w:val="yellow"/>
          <w:lang w:val="en-US" w:eastAsia="zh-CN" w:bidi="ar-SA"/>
        </w:rPr>
        <w:t>（本项目要求为不允许负偏离的实质性要求和条件）</w:t>
      </w:r>
    </w:p>
    <w:p w14:paraId="1E59856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仿宋" w:hAnsi="仿宋" w:eastAsia="仿宋" w:cs="仿宋"/>
          <w:b/>
          <w:kern w:val="2"/>
          <w:sz w:val="28"/>
          <w:szCs w:val="28"/>
          <w:lang w:val="en-US" w:eastAsia="zh-CN" w:bidi="ar-SA"/>
        </w:rPr>
      </w:pPr>
    </w:p>
    <w:p w14:paraId="14C7A702">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一、采购预算</w:t>
      </w:r>
    </w:p>
    <w:p w14:paraId="35FAEC5E">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预算金额（人民币）：</w:t>
      </w:r>
      <w:r>
        <w:rPr>
          <w:rFonts w:hint="eastAsia" w:ascii="仿宋" w:hAnsi="仿宋" w:eastAsia="仿宋" w:cs="仿宋"/>
          <w:b/>
          <w:bCs w:val="0"/>
          <w:sz w:val="24"/>
          <w:szCs w:val="24"/>
          <w:u w:val="single"/>
          <w:lang w:val="en-US" w:eastAsia="zh-CN"/>
        </w:rPr>
        <w:t xml:space="preserve"> 20.21 </w:t>
      </w:r>
      <w:r>
        <w:rPr>
          <w:rFonts w:hint="eastAsia" w:ascii="仿宋" w:hAnsi="仿宋" w:eastAsia="仿宋" w:cs="仿宋"/>
          <w:b/>
          <w:bCs w:val="0"/>
          <w:sz w:val="24"/>
          <w:szCs w:val="24"/>
          <w:lang w:val="en-US" w:eastAsia="zh-CN"/>
        </w:rPr>
        <w:t>万元；最高限价（人民币）：</w:t>
      </w:r>
      <w:r>
        <w:rPr>
          <w:rFonts w:hint="eastAsia" w:ascii="仿宋" w:hAnsi="仿宋" w:eastAsia="仿宋" w:cs="仿宋"/>
          <w:b/>
          <w:bCs w:val="0"/>
          <w:sz w:val="24"/>
          <w:szCs w:val="24"/>
          <w:u w:val="single"/>
          <w:lang w:val="en-US" w:eastAsia="zh-CN"/>
        </w:rPr>
        <w:t xml:space="preserve"> 20.21 </w:t>
      </w:r>
      <w:r>
        <w:rPr>
          <w:rFonts w:hint="eastAsia" w:ascii="仿宋" w:hAnsi="仿宋" w:eastAsia="仿宋" w:cs="仿宋"/>
          <w:b/>
          <w:bCs w:val="0"/>
          <w:sz w:val="24"/>
          <w:szCs w:val="24"/>
          <w:lang w:val="en-US" w:eastAsia="zh-CN"/>
        </w:rPr>
        <w:t>万元。</w:t>
      </w:r>
    </w:p>
    <w:p w14:paraId="124D0D30">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bookmarkStart w:id="0" w:name="_Toc26868"/>
      <w:r>
        <w:rPr>
          <w:rFonts w:hint="eastAsia" w:ascii="仿宋" w:hAnsi="仿宋" w:eastAsia="仿宋" w:cs="仿宋"/>
          <w:b/>
          <w:bCs w:val="0"/>
          <w:sz w:val="24"/>
          <w:szCs w:val="24"/>
          <w:lang w:val="en-US" w:eastAsia="zh-CN"/>
        </w:rPr>
        <w:t>二、采购内容及相关要求</w:t>
      </w:r>
    </w:p>
    <w:p w14:paraId="312F6536">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 xml:space="preserve">        （一）采购清单</w:t>
      </w:r>
    </w:p>
    <w:tbl>
      <w:tblPr>
        <w:tblStyle w:val="17"/>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931"/>
        <w:gridCol w:w="655"/>
        <w:gridCol w:w="805"/>
        <w:gridCol w:w="4176"/>
      </w:tblGrid>
      <w:tr w14:paraId="152F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549" w:type="dxa"/>
            <w:shd w:val="clear" w:color="auto" w:fill="auto"/>
            <w:noWrap/>
            <w:vAlign w:val="center"/>
          </w:tcPr>
          <w:p w14:paraId="3C5FE0E1">
            <w:pPr>
              <w:keepNext w:val="0"/>
              <w:keepLines w:val="0"/>
              <w:pageBreakBefore w:val="0"/>
              <w:kinsoku/>
              <w:wordWrap/>
              <w:overflowPunct/>
              <w:topLinePunct w:val="0"/>
              <w:autoSpaceDE/>
              <w:autoSpaceDN/>
              <w:bidi w:val="0"/>
              <w:spacing w:line="440" w:lineRule="exact"/>
              <w:jc w:val="center"/>
              <w:textAlignment w:val="auto"/>
              <w:rPr>
                <w:rFonts w:hint="default" w:ascii="仿宋_GB2312" w:hAnsi="Times New Roman" w:eastAsia="仿宋_GB2312" w:cs="Times New Roman"/>
                <w:b/>
                <w:bCs/>
                <w:lang w:val="en-US" w:eastAsia="zh-CN"/>
              </w:rPr>
            </w:pPr>
            <w:r>
              <w:rPr>
                <w:rFonts w:hint="eastAsia" w:ascii="仿宋_GB2312" w:hAnsi="Times New Roman" w:eastAsia="仿宋_GB2312" w:cs="Times New Roman"/>
                <w:b/>
                <w:bCs/>
                <w:lang w:val="en-US" w:eastAsia="zh-CN"/>
              </w:rPr>
              <w:t>序号</w:t>
            </w:r>
          </w:p>
        </w:tc>
        <w:tc>
          <w:tcPr>
            <w:tcW w:w="2931" w:type="dxa"/>
            <w:shd w:val="clear" w:color="auto" w:fill="auto"/>
            <w:noWrap/>
            <w:vAlign w:val="center"/>
          </w:tcPr>
          <w:p w14:paraId="21F2BCBC">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b/>
                <w:bCs/>
                <w:lang w:val="en-US" w:eastAsia="zh-CN"/>
              </w:rPr>
            </w:pPr>
            <w:r>
              <w:rPr>
                <w:rFonts w:hint="eastAsia" w:ascii="仿宋_GB2312" w:eastAsia="仿宋_GB2312" w:cs="Times New Roman"/>
                <w:b/>
                <w:bCs/>
                <w:lang w:val="en-US" w:eastAsia="zh-CN"/>
              </w:rPr>
              <w:t>服务</w:t>
            </w:r>
            <w:r>
              <w:rPr>
                <w:rFonts w:hint="eastAsia" w:ascii="仿宋_GB2312" w:hAnsi="Times New Roman" w:eastAsia="仿宋_GB2312" w:cs="Times New Roman"/>
                <w:b/>
                <w:bCs/>
                <w:lang w:val="en-US" w:eastAsia="zh-CN"/>
              </w:rPr>
              <w:t>名称（标的名称）</w:t>
            </w:r>
          </w:p>
        </w:tc>
        <w:tc>
          <w:tcPr>
            <w:tcW w:w="655" w:type="dxa"/>
            <w:shd w:val="clear" w:color="auto" w:fill="auto"/>
            <w:noWrap/>
            <w:vAlign w:val="center"/>
          </w:tcPr>
          <w:p w14:paraId="1DE0E982">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b/>
                <w:bCs/>
                <w:lang w:val="en-US" w:eastAsia="zh-CN"/>
              </w:rPr>
            </w:pPr>
            <w:r>
              <w:rPr>
                <w:rFonts w:hint="eastAsia" w:ascii="仿宋_GB2312" w:hAnsi="Times New Roman" w:eastAsia="仿宋_GB2312" w:cs="Times New Roman"/>
                <w:b/>
                <w:bCs/>
                <w:lang w:val="en-US" w:eastAsia="zh-CN"/>
              </w:rPr>
              <w:t>数量</w:t>
            </w:r>
          </w:p>
        </w:tc>
        <w:tc>
          <w:tcPr>
            <w:tcW w:w="805" w:type="dxa"/>
            <w:shd w:val="clear" w:color="auto" w:fill="auto"/>
            <w:noWrap/>
            <w:vAlign w:val="center"/>
          </w:tcPr>
          <w:p w14:paraId="016162FB">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b/>
                <w:bCs/>
                <w:lang w:val="en-US" w:eastAsia="zh-CN"/>
              </w:rPr>
            </w:pPr>
            <w:r>
              <w:rPr>
                <w:rFonts w:hint="eastAsia" w:ascii="仿宋_GB2312" w:hAnsi="Times New Roman" w:eastAsia="仿宋_GB2312" w:cs="Times New Roman"/>
                <w:b/>
                <w:bCs/>
                <w:lang w:val="en-US" w:eastAsia="zh-CN"/>
              </w:rPr>
              <w:t>单位</w:t>
            </w:r>
          </w:p>
        </w:tc>
        <w:tc>
          <w:tcPr>
            <w:tcW w:w="4176" w:type="dxa"/>
            <w:shd w:val="clear" w:color="auto" w:fill="auto"/>
            <w:noWrap/>
            <w:vAlign w:val="center"/>
          </w:tcPr>
          <w:p w14:paraId="4720F29F">
            <w:pPr>
              <w:keepNext w:val="0"/>
              <w:keepLines w:val="0"/>
              <w:pageBreakBefore w:val="0"/>
              <w:kinsoku/>
              <w:wordWrap/>
              <w:overflowPunct/>
              <w:topLinePunct w:val="0"/>
              <w:autoSpaceDE/>
              <w:autoSpaceDN/>
              <w:bidi w:val="0"/>
              <w:spacing w:line="440" w:lineRule="exact"/>
              <w:jc w:val="center"/>
              <w:textAlignment w:val="auto"/>
              <w:rPr>
                <w:rFonts w:hint="default" w:ascii="仿宋_GB2312" w:hAnsi="Times New Roman" w:eastAsia="仿宋_GB2312" w:cs="Times New Roman"/>
                <w:b/>
                <w:bCs/>
                <w:lang w:val="en-US" w:eastAsia="zh-CN"/>
              </w:rPr>
            </w:pPr>
            <w:r>
              <w:rPr>
                <w:rFonts w:hint="eastAsia" w:ascii="仿宋_GB2312" w:eastAsia="仿宋_GB2312" w:cs="Times New Roman"/>
                <w:b/>
                <w:bCs/>
                <w:lang w:val="en-US" w:eastAsia="zh-CN"/>
              </w:rPr>
              <w:t>备注</w:t>
            </w:r>
          </w:p>
        </w:tc>
      </w:tr>
      <w:tr w14:paraId="0E9D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49" w:type="dxa"/>
            <w:shd w:val="clear" w:color="auto" w:fill="FFFFFF"/>
            <w:noWrap/>
            <w:vAlign w:val="center"/>
          </w:tcPr>
          <w:p w14:paraId="6B5BE69E">
            <w:pPr>
              <w:keepNext w:val="0"/>
              <w:keepLines w:val="0"/>
              <w:pageBreakBefore w:val="0"/>
              <w:kinsoku/>
              <w:wordWrap/>
              <w:overflowPunct/>
              <w:topLinePunct w:val="0"/>
              <w:autoSpaceDE/>
              <w:autoSpaceDN/>
              <w:bidi w:val="0"/>
              <w:spacing w:line="440" w:lineRule="exact"/>
              <w:jc w:val="center"/>
              <w:textAlignment w:val="auto"/>
              <w:rPr>
                <w:rFonts w:hint="default" w:ascii="仿宋_GB2312" w:hAnsi="Times New Roman" w:eastAsia="仿宋_GB2312" w:cs="Times New Roman"/>
                <w:lang w:val="en-US" w:eastAsia="zh-CN"/>
              </w:rPr>
            </w:pPr>
            <w:r>
              <w:rPr>
                <w:rFonts w:hint="eastAsia" w:ascii="仿宋_GB2312" w:hAnsi="Times New Roman" w:eastAsia="仿宋_GB2312" w:cs="Times New Roman"/>
                <w:lang w:val="en-US" w:eastAsia="zh-CN"/>
              </w:rPr>
              <w:t>1</w:t>
            </w:r>
          </w:p>
        </w:tc>
        <w:tc>
          <w:tcPr>
            <w:tcW w:w="2931" w:type="dxa"/>
            <w:shd w:val="clear" w:color="auto" w:fill="FFFFFF"/>
            <w:noWrap/>
            <w:vAlign w:val="center"/>
          </w:tcPr>
          <w:p w14:paraId="44792F3F">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安全感知管理平台</w:t>
            </w:r>
          </w:p>
        </w:tc>
        <w:tc>
          <w:tcPr>
            <w:tcW w:w="655" w:type="dxa"/>
            <w:shd w:val="clear" w:color="auto" w:fill="auto"/>
            <w:noWrap/>
            <w:vAlign w:val="center"/>
          </w:tcPr>
          <w:p w14:paraId="238345DB">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1</w:t>
            </w:r>
          </w:p>
        </w:tc>
        <w:tc>
          <w:tcPr>
            <w:tcW w:w="805" w:type="dxa"/>
            <w:shd w:val="clear" w:color="auto" w:fill="auto"/>
            <w:noWrap/>
            <w:vAlign w:val="center"/>
          </w:tcPr>
          <w:p w14:paraId="351164A3">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套</w:t>
            </w:r>
          </w:p>
        </w:tc>
        <w:tc>
          <w:tcPr>
            <w:tcW w:w="4176" w:type="dxa"/>
            <w:vMerge w:val="restart"/>
            <w:shd w:val="clear" w:color="auto" w:fill="auto"/>
            <w:noWrap/>
            <w:vAlign w:val="center"/>
          </w:tcPr>
          <w:p w14:paraId="5322538D">
            <w:pPr>
              <w:keepNext w:val="0"/>
              <w:keepLines w:val="0"/>
              <w:pageBreakBefore w:val="0"/>
              <w:kinsoku/>
              <w:wordWrap/>
              <w:overflowPunct/>
              <w:topLinePunct w:val="0"/>
              <w:autoSpaceDE/>
              <w:autoSpaceDN/>
              <w:bidi w:val="0"/>
              <w:spacing w:line="440" w:lineRule="exact"/>
              <w:jc w:val="left"/>
              <w:textAlignment w:val="auto"/>
              <w:rPr>
                <w:rFonts w:hint="eastAsia" w:ascii="仿宋_GB2312" w:hAnsi="Times New Roman" w:eastAsia="仿宋_GB2312" w:cs="Times New Roman"/>
                <w:lang w:val="en-US" w:eastAsia="zh-CN"/>
              </w:rPr>
            </w:pPr>
            <w:r>
              <w:rPr>
                <w:rFonts w:hint="eastAsia" w:ascii="仿宋_GB2312" w:hAnsi="Times New Roman" w:eastAsia="仿宋_GB2312" w:cs="Times New Roman"/>
                <w:lang w:val="zh-CN" w:eastAsia="zh-CN"/>
              </w:rPr>
              <w:t>自项目验收完成之日起</w:t>
            </w:r>
            <w:r>
              <w:rPr>
                <w:rFonts w:hint="eastAsia" w:ascii="仿宋_GB2312" w:hAnsi="Times New Roman" w:eastAsia="仿宋_GB2312" w:cs="Times New Roman"/>
                <w:lang w:val="en-US" w:eastAsia="zh-CN"/>
              </w:rPr>
              <w:t>,提供3年原厂质保及升级服务。</w:t>
            </w:r>
          </w:p>
        </w:tc>
      </w:tr>
      <w:tr w14:paraId="2A40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49" w:type="dxa"/>
            <w:shd w:val="clear" w:color="auto" w:fill="FFFFFF"/>
            <w:noWrap/>
            <w:vAlign w:val="center"/>
          </w:tcPr>
          <w:p w14:paraId="4386D22A">
            <w:pPr>
              <w:keepNext w:val="0"/>
              <w:keepLines w:val="0"/>
              <w:pageBreakBefore w:val="0"/>
              <w:kinsoku/>
              <w:wordWrap/>
              <w:overflowPunct/>
              <w:topLinePunct w:val="0"/>
              <w:autoSpaceDE/>
              <w:autoSpaceDN/>
              <w:bidi w:val="0"/>
              <w:spacing w:line="440" w:lineRule="exact"/>
              <w:jc w:val="center"/>
              <w:textAlignment w:val="auto"/>
              <w:rPr>
                <w:rFonts w:hint="default" w:ascii="仿宋_GB2312" w:hAnsi="Times New Roman" w:eastAsia="仿宋_GB2312" w:cs="Times New Roman"/>
                <w:lang w:val="en-US" w:eastAsia="zh-CN"/>
              </w:rPr>
            </w:pPr>
            <w:r>
              <w:rPr>
                <w:rFonts w:hint="eastAsia" w:ascii="仿宋_GB2312" w:hAnsi="Times New Roman" w:eastAsia="仿宋_GB2312" w:cs="Times New Roman"/>
                <w:lang w:val="en-US" w:eastAsia="zh-CN"/>
              </w:rPr>
              <w:t>2</w:t>
            </w:r>
          </w:p>
        </w:tc>
        <w:tc>
          <w:tcPr>
            <w:tcW w:w="2931" w:type="dxa"/>
            <w:shd w:val="clear" w:color="auto" w:fill="FFFFFF"/>
            <w:noWrap/>
            <w:vAlign w:val="center"/>
          </w:tcPr>
          <w:p w14:paraId="6DD7C529">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潜伏威胁探针</w:t>
            </w:r>
          </w:p>
        </w:tc>
        <w:tc>
          <w:tcPr>
            <w:tcW w:w="655" w:type="dxa"/>
            <w:shd w:val="clear" w:color="auto" w:fill="auto"/>
            <w:noWrap/>
            <w:vAlign w:val="center"/>
          </w:tcPr>
          <w:p w14:paraId="63ABBE40">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kern w:val="2"/>
                <w:sz w:val="21"/>
                <w:szCs w:val="24"/>
                <w:lang w:val="en-US" w:eastAsia="zh-CN" w:bidi="ar-SA"/>
              </w:rPr>
            </w:pPr>
            <w:r>
              <w:rPr>
                <w:rFonts w:hint="eastAsia" w:ascii="仿宋_GB2312" w:hAnsi="Times New Roman" w:eastAsia="仿宋_GB2312" w:cs="Times New Roman"/>
                <w:lang w:val="en-US" w:eastAsia="zh-CN"/>
              </w:rPr>
              <w:t>1</w:t>
            </w:r>
          </w:p>
        </w:tc>
        <w:tc>
          <w:tcPr>
            <w:tcW w:w="805" w:type="dxa"/>
            <w:shd w:val="clear" w:color="auto" w:fill="auto"/>
            <w:noWrap/>
            <w:vAlign w:val="center"/>
          </w:tcPr>
          <w:p w14:paraId="46C339B4">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kern w:val="2"/>
                <w:sz w:val="21"/>
                <w:szCs w:val="24"/>
                <w:lang w:val="en-US" w:eastAsia="zh-CN" w:bidi="ar-SA"/>
              </w:rPr>
            </w:pPr>
            <w:r>
              <w:rPr>
                <w:rFonts w:hint="eastAsia" w:ascii="仿宋_GB2312" w:eastAsia="仿宋_GB2312" w:cs="Times New Roman"/>
                <w:highlight w:val="none"/>
                <w:lang w:val="en-US" w:eastAsia="zh-CN"/>
              </w:rPr>
              <w:t>套</w:t>
            </w:r>
          </w:p>
        </w:tc>
        <w:tc>
          <w:tcPr>
            <w:tcW w:w="4176" w:type="dxa"/>
            <w:vMerge w:val="continue"/>
            <w:shd w:val="clear" w:color="auto" w:fill="auto"/>
            <w:noWrap/>
            <w:vAlign w:val="center"/>
          </w:tcPr>
          <w:p w14:paraId="337F3A78">
            <w:pPr>
              <w:keepNext w:val="0"/>
              <w:keepLines w:val="0"/>
              <w:pageBreakBefore w:val="0"/>
              <w:kinsoku/>
              <w:wordWrap/>
              <w:overflowPunct/>
              <w:topLinePunct w:val="0"/>
              <w:autoSpaceDE/>
              <w:autoSpaceDN/>
              <w:bidi w:val="0"/>
              <w:spacing w:line="440" w:lineRule="exact"/>
              <w:jc w:val="center"/>
              <w:textAlignment w:val="auto"/>
              <w:rPr>
                <w:rFonts w:hint="eastAsia" w:ascii="仿宋_GB2312" w:hAnsi="Times New Roman" w:eastAsia="仿宋_GB2312" w:cs="Times New Roman"/>
                <w:highlight w:val="green"/>
                <w:lang w:val="en-US" w:eastAsia="zh-CN"/>
              </w:rPr>
            </w:pPr>
          </w:p>
        </w:tc>
      </w:tr>
    </w:tbl>
    <w:p w14:paraId="5106D1A0">
      <w:pPr>
        <w:jc w:val="both"/>
        <w:rPr>
          <w:rFonts w:hint="eastAsia" w:asciiTheme="minorEastAsia" w:hAnsiTheme="minorEastAsia" w:eastAsiaTheme="minorEastAsia" w:cstheme="minorEastAsia"/>
          <w:b/>
          <w:color w:val="000000"/>
          <w:sz w:val="24"/>
          <w:szCs w:val="24"/>
          <w:lang w:val="en-US" w:eastAsia="zh-CN"/>
        </w:rPr>
      </w:pPr>
    </w:p>
    <w:p w14:paraId="7BCAF646">
      <w:pPr>
        <w:spacing w:line="340" w:lineRule="exact"/>
        <w:ind w:firstLine="480" w:firstLineChars="200"/>
        <w:rPr>
          <w:rFonts w:hint="eastAsia" w:asciiTheme="minorEastAsia" w:hAnsiTheme="minorEastAsia" w:eastAsiaTheme="minorEastAsia" w:cstheme="minorEastAsia"/>
          <w:b w:val="0"/>
          <w:bCs w:val="0"/>
          <w:sz w:val="24"/>
          <w:szCs w:val="24"/>
          <w:lang w:val="en-US" w:eastAsia="zh-CN"/>
        </w:rPr>
      </w:pPr>
    </w:p>
    <w:p w14:paraId="6C238AF4">
      <w:pPr>
        <w:jc w:val="center"/>
        <w:rPr>
          <w:rFonts w:hint="eastAsia" w:ascii="仿宋" w:hAnsi="仿宋" w:eastAsia="仿宋" w:cs="仿宋"/>
          <w:b/>
          <w:bCs w:val="0"/>
          <w:sz w:val="24"/>
          <w:szCs w:val="24"/>
          <w:lang w:val="en-US" w:eastAsia="zh-CN"/>
        </w:rPr>
      </w:pPr>
      <w:r>
        <w:rPr>
          <w:rFonts w:hint="eastAsia" w:asciiTheme="minorEastAsia" w:hAnsiTheme="minorEastAsia" w:eastAsiaTheme="minorEastAsia" w:cstheme="minorEastAsia"/>
          <w:b/>
          <w:color w:val="000000"/>
          <w:sz w:val="24"/>
          <w:szCs w:val="24"/>
          <w:lang w:val="en-US" w:eastAsia="zh-CN"/>
        </w:rPr>
        <w:t xml:space="preserve"> </w:t>
      </w:r>
      <w:r>
        <w:rPr>
          <w:rFonts w:hint="eastAsia" w:ascii="仿宋" w:hAnsi="仿宋" w:eastAsia="仿宋" w:cs="仿宋"/>
          <w:b/>
          <w:bCs w:val="0"/>
          <w:sz w:val="24"/>
          <w:szCs w:val="24"/>
          <w:lang w:val="en-US" w:eastAsia="zh-CN"/>
        </w:rPr>
        <w:t xml:space="preserve">      （二）服务内容</w:t>
      </w:r>
    </w:p>
    <w:p w14:paraId="2FC68B4E">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b/>
          <w:bCs/>
          <w:kern w:val="2"/>
          <w:sz w:val="24"/>
          <w:szCs w:val="24"/>
          <w:lang w:val="en-US" w:eastAsia="zh-CN" w:bidi="ar-SA"/>
        </w:rPr>
      </w:pPr>
      <w:bookmarkStart w:id="1" w:name="_Toc208416084"/>
      <w:r>
        <w:rPr>
          <w:rFonts w:hint="eastAsia" w:ascii="仿宋" w:hAnsi="仿宋" w:eastAsia="仿宋" w:cs="仿宋"/>
          <w:b/>
          <w:bCs/>
          <w:kern w:val="2"/>
          <w:sz w:val="24"/>
          <w:szCs w:val="24"/>
          <w:lang w:val="en-US" w:eastAsia="zh-CN" w:bidi="ar-SA"/>
        </w:rPr>
        <w:t>&lt;一&gt;项目背景：</w:t>
      </w:r>
    </w:p>
    <w:bookmarkEnd w:id="1"/>
    <w:p w14:paraId="19FB5B7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网络安全态势感知系统是用于实时监测、分析和预测网络空间安全状态的系统，通过整合安全大数据实现威胁发现、风险预警和防御决策。其核心功能包括：</w:t>
      </w:r>
    </w:p>
    <w:p w14:paraId="3BF9251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1、‌持续监控‌：采集网络流量、日志等数据，实时检测异常行为和攻击威胁。 ‌</w:t>
      </w:r>
    </w:p>
    <w:p w14:paraId="5F64AE8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2、‌威胁分析‌：通过大数据分析和机器学习，识别攻击路径、手段及影响范围，支持可视化呈现。 ‌</w:t>
      </w:r>
    </w:p>
    <w:p w14:paraId="109460C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3、‌风险预测‌：基于历史数据和情报，预测潜在攻击趋势，提供防御改进建议。 ‌</w:t>
      </w:r>
    </w:p>
    <w:p w14:paraId="6208C80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4、‌自动响应‌：部分系统支持闭环响应机制，实现攻击取证、修复和应急联动。 ‌‌</w:t>
      </w:r>
    </w:p>
    <w:p w14:paraId="3D00B3D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网络安全态势感知系统主要应用于监测关键信息系统的基础设施，如卫生、金融、能源等领域的网络安全态势。‌‌保障内部网络安全运营，发现失陷主机、Web攻击等威胁，保障业务系统稳定运行，同时通过特征库的在线升级和更新，提升威胁防御能力。</w:t>
      </w:r>
    </w:p>
    <w:p w14:paraId="66E89C1E">
      <w:pPr>
        <w:keepNext w:val="0"/>
        <w:keepLines w:val="0"/>
        <w:pageBreakBefore w:val="0"/>
        <w:kinsoku/>
        <w:wordWrap/>
        <w:overflowPunct/>
        <w:topLinePunct w:val="0"/>
        <w:autoSpaceDE/>
        <w:autoSpaceDN/>
        <w:bidi w:val="0"/>
        <w:spacing w:line="440" w:lineRule="exact"/>
        <w:ind w:firstLine="480" w:firstLineChars="200"/>
        <w:textAlignment w:val="auto"/>
        <w:rPr>
          <w:rFonts w:hint="eastAsia"/>
          <w:lang w:val="en-US" w:eastAsia="zh-CN"/>
        </w:rPr>
      </w:pPr>
      <w:r>
        <w:rPr>
          <w:rFonts w:hint="eastAsia" w:ascii="仿宋" w:hAnsi="仿宋" w:eastAsia="仿宋" w:cs="仿宋"/>
          <w:kern w:val="2"/>
          <w:sz w:val="24"/>
          <w:szCs w:val="24"/>
          <w:lang w:val="en-US" w:eastAsia="zh-CN" w:bidi="ar-SA"/>
        </w:rPr>
        <w:t xml:space="preserve">目前马鞍山市中医院尚无网络流量分析和监控类设备，缺乏风险预警和发现能力，需要上线网络安全态势感知系统接入内网局域网络和外网办公局域网络，提升网络安全威胁防护水平。‌‌  </w:t>
      </w:r>
    </w:p>
    <w:p w14:paraId="7AEBA1F9">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&lt;二&gt;技术要求：</w:t>
      </w:r>
    </w:p>
    <w:p w14:paraId="76EF19C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1、安全感知管理平台：</w:t>
      </w:r>
    </w:p>
    <w:p w14:paraId="670CAA5A">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w:t>
      </w:r>
      <w:r>
        <w:rPr>
          <w:rFonts w:hint="eastAsia" w:ascii="仿宋" w:hAnsi="仿宋" w:eastAsia="仿宋" w:cs="仿宋"/>
          <w:kern w:val="2"/>
          <w:sz w:val="22"/>
          <w:szCs w:val="22"/>
          <w:lang w:val="en-US" w:eastAsia="zh-CN" w:bidi="ar-SA"/>
        </w:rPr>
        <w:t>█</w:t>
      </w:r>
      <w:r>
        <w:rPr>
          <w:rFonts w:hint="eastAsia" w:ascii="仿宋" w:hAnsi="仿宋" w:eastAsia="仿宋" w:cs="仿宋"/>
          <w:kern w:val="2"/>
          <w:sz w:val="24"/>
          <w:szCs w:val="24"/>
          <w:lang w:val="en-US" w:eastAsia="zh-CN" w:bidi="ar-SA"/>
        </w:rPr>
        <w:t xml:space="preserve">标准机架式设备，存储容量≥14.4T </w:t>
      </w:r>
      <w:r>
        <w:rPr>
          <w:rFonts w:hint="eastAsia" w:ascii="仿宋" w:hAnsi="仿宋" w:eastAsia="仿宋" w:cs="仿宋"/>
          <w:kern w:val="2"/>
          <w:sz w:val="24"/>
          <w:szCs w:val="24"/>
          <w:highlight w:val="none"/>
          <w:lang w:val="en-US" w:eastAsia="zh-CN" w:bidi="ar-SA"/>
        </w:rPr>
        <w:t>SAS盘</w:t>
      </w:r>
      <w:r>
        <w:rPr>
          <w:rFonts w:hint="eastAsia" w:ascii="仿宋" w:hAnsi="仿宋" w:eastAsia="仿宋" w:cs="仿宋"/>
          <w:kern w:val="2"/>
          <w:sz w:val="24"/>
          <w:szCs w:val="24"/>
          <w:lang w:val="en-US" w:eastAsia="zh-CN" w:bidi="ar-SA"/>
        </w:rPr>
        <w:t>，在带宽性能1Gbps时存储时长≥900天/1Gbps。内存≥3*32GB DDR4 3200，系统盘≥480GB M.2 SSD，数据盘≥4*4TB，标配盘位数≥4，冗余电源，接口≥4千兆电口+4万兆光口；</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1.2.支持命中攻击技术统计展示，支持基于规则检测引擎、情报检测引擎、文件分析引擎、攻击行为分析引擎以及异常行为引擎查看攻击技术分布，支持针对具体攻击技术展示检测能力图谱以及受影响的风险资产；</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1.3.支持可视化的形式展示威胁的影响面，通过大数据分析和关联检索技术，可清晰直观看清失陷主机对其他主机的影响，评估受损情况，方便客户快速处置。支持通过首页搜索框输入IP/域名/URL/端口/通信对进行搜索，支持基于列表模式展示横向攻击、违规访问、风险访问、可疑行为、正常访问等详细信息，建立全方位的持续性的检测能力。支持入口点溯源功能，分析出首次失陷、疑似入口点、首次遭受攻击等信息，帮助管理人员快速找到攻击入口点。</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1.4.支持安全态势的可视化呈现，帮助客户更直观的看清风险、看懂威胁，产品内置（非自定义）综合安全态势、物联网安全态势、分支安全态势、安全事件、通报预警态势、脆弱性态势、资产态势、全球网络攻击态势、资产监控、告警实时监控、设备运行态势、重大活动网络安全指挥调度大屏、正常外连监控</w:t>
      </w:r>
      <w:r>
        <w:rPr>
          <w:rFonts w:hint="eastAsia" w:ascii="仿宋" w:hAnsi="仿宋" w:eastAsia="仿宋" w:cs="仿宋"/>
          <w:kern w:val="2"/>
          <w:sz w:val="24"/>
          <w:szCs w:val="24"/>
          <w:highlight w:val="none"/>
          <w:lang w:val="en-US" w:eastAsia="zh-CN" w:bidi="ar-SA"/>
        </w:rPr>
        <w:t>等大屏展示界面证明</w:t>
      </w:r>
      <w:r>
        <w:rPr>
          <w:rFonts w:hint="eastAsia" w:ascii="仿宋" w:hAnsi="仿宋" w:eastAsia="仿宋" w:cs="仿宋"/>
          <w:kern w:val="2"/>
          <w:sz w:val="24"/>
          <w:szCs w:val="24"/>
          <w:lang w:val="en-US" w:eastAsia="zh-CN" w:bidi="ar-SA"/>
        </w:rPr>
        <w:t>；支持大屏轮播及自定义大屏顺序设置和轮播间隔设置，方便客户结合自身业务需求进行个性化设置；</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1.5.</w:t>
      </w:r>
      <w:r>
        <w:rPr>
          <w:rFonts w:hint="eastAsia" w:ascii="仿宋" w:hAnsi="仿宋" w:eastAsia="仿宋" w:cs="仿宋"/>
          <w:kern w:val="2"/>
          <w:sz w:val="22"/>
          <w:szCs w:val="22"/>
          <w:lang w:val="en-US" w:eastAsia="zh-CN" w:bidi="ar-SA"/>
        </w:rPr>
        <w:t>█</w:t>
      </w:r>
      <w:r>
        <w:rPr>
          <w:rFonts w:hint="eastAsia" w:ascii="仿宋" w:hAnsi="仿宋" w:eastAsia="仿宋" w:cs="仿宋"/>
          <w:kern w:val="2"/>
          <w:sz w:val="24"/>
          <w:szCs w:val="24"/>
          <w:lang w:val="en-US" w:eastAsia="zh-CN" w:bidi="ar-SA"/>
        </w:rPr>
        <w:t>支持挖矿专项检测页面，帮助客户更好的应对日益严峻的挖矿风险，避免数据窃取和监管通报，支持基于规则的本地挖矿检测和基于主动探测技术的云端挖矿检测，以实现挖矿病毒的全面检测，支持挖矿实时检测播报本地和云端的挖矿检测分析结果，支持基于攻击阶段展示挖矿主机数量，便于掌握各阶段挖矿主机分布情况，支持以列表的形式展示挖矿事件，包括最近发生时间、威胁描述、威胁定性、挖矿阶段、威胁等级、受害者IP、攻击次数、威胁情报等信息；</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1.6.实时检测到关注告警类型的威胁可以发出声音告警提醒用户。支持受害者IP/攻击者IP/代理服务器IP/威胁描述/威胁类型等维度自定义告警复制，支持基于威胁定性、重点关注资产以及威胁类型排行等维度对告警进行筛选；</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1.7.</w:t>
      </w:r>
      <w:r>
        <w:rPr>
          <w:rFonts w:hint="eastAsia" w:ascii="仿宋" w:hAnsi="仿宋" w:eastAsia="仿宋" w:cs="仿宋"/>
          <w:kern w:val="2"/>
          <w:sz w:val="22"/>
          <w:szCs w:val="22"/>
          <w:lang w:val="en-US" w:eastAsia="zh-CN" w:bidi="ar-SA"/>
        </w:rPr>
        <w:t>█</w:t>
      </w:r>
      <w:r>
        <w:rPr>
          <w:rFonts w:hint="eastAsia" w:ascii="仿宋" w:hAnsi="仿宋" w:eastAsia="仿宋" w:cs="仿宋"/>
          <w:kern w:val="2"/>
          <w:sz w:val="24"/>
          <w:szCs w:val="24"/>
          <w:lang w:val="en-US" w:eastAsia="zh-CN" w:bidi="ar-SA"/>
        </w:rPr>
        <w:t>支持勒索专项检测页面，帮助客户更好的应对日益严峻的勒索风险，支持对勒索主题的安全告警进行统一展示和管理，支持以勒索病毒的感染途径/方式为维度进行分类，包括勒索常用端口、勒索常用漏洞、RDP爆破、感染勒索病毒、黑客勒索攻击、勒索C&amp;C通信等维度，支持以列表的形式展示勒索事件，包括最近发生时间、威胁描述、威胁定性、勒索风险、威胁等级、受害者IP、攻击次数等信息；</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1.8.支持PPT格式导出摘要报告，报告内容包括：网络安全整体解读、网络安全风险详情、告警及事件响应盘点，可直接通过导出的PPT报告进行工作汇报，高效体现工作价值；</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1.9.</w:t>
      </w:r>
      <w:r>
        <w:rPr>
          <w:rFonts w:hint="eastAsia" w:ascii="仿宋" w:hAnsi="仿宋" w:eastAsia="仿宋" w:cs="仿宋"/>
          <w:kern w:val="2"/>
          <w:sz w:val="22"/>
          <w:szCs w:val="22"/>
          <w:lang w:val="en-US" w:eastAsia="zh-CN" w:bidi="ar-SA"/>
        </w:rPr>
        <w:t>█</w:t>
      </w:r>
      <w:r>
        <w:rPr>
          <w:rFonts w:hint="eastAsia" w:ascii="仿宋" w:hAnsi="仿宋" w:eastAsia="仿宋" w:cs="仿宋"/>
          <w:kern w:val="2"/>
          <w:sz w:val="24"/>
          <w:szCs w:val="24"/>
          <w:lang w:val="en-US" w:eastAsia="zh-CN" w:bidi="ar-SA"/>
        </w:rPr>
        <w:t>为实现安全事件的遏制和根除避免反复发作，支持联动同品牌的终端安全管理系统进行闭环处置，支持管理员在平台管理界面下发快速查杀任务并查看任务状态、结果进行处置，支持下发一键隔离指令，对终端所有连接进行阻断，防止病毒进一步扩散。支持联动终端安全管理系统为平台提供溯源举证功能以定位安全事件根因，可定位到该主机上发起恶意域名访问的具体进程、及其进程链信息，并且安全态势感知根据返回的举证信息，联动客户端对恶意进程进行处置，实现根除。平台内置僵木蠕毒恶意程序清除（文件、注册表、进程、WMI、计划任务、用户账户的删除）、外联类快速遏制（DNS拦截/IP端口访问控制）、恶意程序横向遏制/综合遏制等个性化安全策略，以针对不同场景下僵木蠕毒安全事件进行快速闭环；</w:t>
      </w:r>
    </w:p>
    <w:p w14:paraId="013FA70F">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1.10.支持威胁定性引擎以分析告警的上下文关联、时序关系、历史告警发生的频率规律性，结合威胁情报与安全专家经验对当前的安全告警进行目的性确认，从而确认安全告警的优先级顺序； </w:t>
      </w:r>
    </w:p>
    <w:p w14:paraId="7C07565B">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1.11.实时检测到关注告警类型的威胁可以发出声音告警提醒用户。支持受害者IP/攻击者IP/代理服务器IP/威胁描述/威胁类型等维度自定义告警复制，支持基于威胁定性、重点关注资产以及威胁类型排行等维度对告警进行筛选；</w:t>
      </w:r>
    </w:p>
    <w:p w14:paraId="7A3D851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1.12.支持对下级平台和探针设备进行统一运维监控，支持对网卡，内存，raid卡，磁盘的硬件异常进行故障监控；支持故障告警在横幅优先展示，提升设备安全性；</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1.13.</w:t>
      </w:r>
      <w:r>
        <w:rPr>
          <w:rFonts w:hint="eastAsia" w:ascii="仿宋" w:hAnsi="仿宋" w:eastAsia="仿宋" w:cs="仿宋"/>
          <w:kern w:val="2"/>
          <w:sz w:val="22"/>
          <w:szCs w:val="22"/>
          <w:lang w:val="en-US" w:eastAsia="zh-CN" w:bidi="ar-SA"/>
        </w:rPr>
        <w:t>█</w:t>
      </w:r>
      <w:r>
        <w:rPr>
          <w:rFonts w:hint="eastAsia" w:ascii="仿宋" w:hAnsi="仿宋" w:eastAsia="仿宋" w:cs="仿宋"/>
          <w:kern w:val="2"/>
          <w:sz w:val="24"/>
          <w:szCs w:val="24"/>
          <w:lang w:val="en-US" w:eastAsia="zh-CN" w:bidi="ar-SA"/>
        </w:rPr>
        <w:t>支持与医院现有终端安全响应系统、上网行为管理设备的统一配置核查并上报结果，提供自动化监测和配置引导；</w:t>
      </w:r>
    </w:p>
    <w:p w14:paraId="6315227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2.潜伏威胁探针;</w:t>
      </w:r>
    </w:p>
    <w:p w14:paraId="46FADFCE">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2.1.█标准机架式设备，网络层吞吐量≥500Mbps，应用层吞吐量≥160Mbps。内存≥4G，硬盘容量≥128G  SSD，接口≥6千兆电口。</w:t>
      </w:r>
    </w:p>
    <w:p w14:paraId="4548A813">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lang w:val="en-US" w:eastAsia="zh-CN" w:bidi="ar-SA"/>
        </w:rPr>
        <w:t xml:space="preserve">  2.2.支持命令注入检测、PHP代码检测、XSS攻击检测、Webshell上传检测、SQL注入检测、XXE攻击检测、JAVA代码检测、SQL非注入型检测、MYSQL解析增强、php反序列化检测等自定义配置启用，针对命令注入检测、SQL注入检测等类型支持自定义高检出、低误报模式；</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2.3.支持SQL注入、XSS攻击、网页木马、网站扫描、WEBSHELL、跨站请求伪造、系统命令注入、文件包含攻击、目录遍历攻击、信息泄露攻击、Web整站系统漏洞、自定义WAF规则、WAF云防护等网站攻击检测；</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 xml:space="preserve">  2.4.支持敏感信息检测功能，内置身份证、MD5、手机号码、银行卡号、邮箱等敏感信息，可自定义敏感信息检测策略选择组合的敏感信息，</w:t>
      </w:r>
      <w:r>
        <w:rPr>
          <w:rFonts w:hint="eastAsia" w:ascii="仿宋" w:hAnsi="仿宋" w:eastAsia="仿宋" w:cs="仿宋"/>
          <w:kern w:val="2"/>
          <w:sz w:val="24"/>
          <w:szCs w:val="24"/>
          <w:highlight w:val="none"/>
          <w:lang w:val="en-US" w:eastAsia="zh-CN" w:bidi="ar-SA"/>
        </w:rPr>
        <w:t>可统计分析。</w:t>
      </w:r>
    </w:p>
    <w:p w14:paraId="2CEA4815">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2.5.█支持流量抓包分析，可定义配置源IP、源端口、目的IP和目的端口、传输层协议以及标签类型（vlan、vxlan、mpls）选择添加抓包任务，接口额外提供标签选项；</w:t>
      </w:r>
    </w:p>
    <w:p w14:paraId="53DFD69F">
      <w:pPr>
        <w:keepNext w:val="0"/>
        <w:keepLines w:val="0"/>
        <w:pageBreakBefore w:val="0"/>
        <w:kinsoku/>
        <w:wordWrap/>
        <w:overflowPunct/>
        <w:topLinePunct w:val="0"/>
        <w:autoSpaceDE/>
        <w:autoSpaceDN/>
        <w:bidi w:val="0"/>
        <w:spacing w:line="440" w:lineRule="exact"/>
        <w:ind w:firstLine="480" w:firstLineChars="200"/>
        <w:textAlignment w:val="auto"/>
        <w:rPr>
          <w:rFonts w:hint="default"/>
          <w:lang w:val="en-US" w:eastAsia="zh-CN"/>
        </w:rPr>
      </w:pPr>
      <w:r>
        <w:rPr>
          <w:rFonts w:hint="eastAsia" w:ascii="仿宋" w:hAnsi="仿宋" w:eastAsia="仿宋" w:cs="仿宋"/>
          <w:kern w:val="2"/>
          <w:sz w:val="24"/>
          <w:szCs w:val="24"/>
          <w:lang w:val="en-US" w:eastAsia="zh-CN" w:bidi="ar-SA"/>
        </w:rPr>
        <w:t>3.人工服务：提供专业技术人员根据院内网络流量信息进行定期的人工网络威胁分析服务和网络安全预警提示服务。</w:t>
      </w:r>
    </w:p>
    <w:p w14:paraId="0BAD4A1E">
      <w:pPr>
        <w:keepNext w:val="0"/>
        <w:keepLines w:val="0"/>
        <w:pageBreakBefore w:val="0"/>
        <w:tabs>
          <w:tab w:val="left" w:pos="1050"/>
        </w:tabs>
        <w:kinsoku/>
        <w:wordWrap/>
        <w:overflowPunct/>
        <w:topLinePunct w:val="0"/>
        <w:autoSpaceDE/>
        <w:autoSpaceDN/>
        <w:bidi w:val="0"/>
        <w:spacing w:line="440" w:lineRule="exact"/>
        <w:jc w:val="both"/>
        <w:textAlignment w:val="auto"/>
        <w:outlineLvl w:val="2"/>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&lt;三&gt;维保期基本服务要求：</w:t>
      </w:r>
    </w:p>
    <w:p w14:paraId="7F09A32A">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1、提供附件中硬件清单列表中硬件的现场上架、安装配置、故障诊断、现场维修服务, 维护期内对所有硬件设备的故障件均给予免费更换及调试服务。</w:t>
      </w:r>
    </w:p>
    <w:p w14:paraId="4DB9CF2C">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2、安排拥有专业资质的工作人员提供设备各项功能详细操作说明指导，在设备特征库及设备自身固件版本升级过程中确保业务的连续性。</w:t>
      </w:r>
    </w:p>
    <w:p w14:paraId="1DB4CCD8">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3、配合医院完成网络安全等级保护测评（二级、三级）、网络安全事件整改、应急演练、渗透漏扫等网络安全相关工作以及上级部门的网络安全检查等工作。</w:t>
      </w:r>
    </w:p>
    <w:p w14:paraId="741E8CF5">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4、至少提供每年一次漏洞扫描服务，每季度提供一次巡检报告。</w:t>
      </w:r>
    </w:p>
    <w:p w14:paraId="2E06112D">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5、服务期内医院若需要进行设备搬迁或调整相关设备配置、交换机配置、系统网络拓扑等操作，需免费派技术团队人员在现场进行服务和技术支持。</w:t>
      </w:r>
    </w:p>
    <w:p w14:paraId="44F294D9">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6、突发设备故障时，需立即进行响应，并提供2小时内现场救援服务，到达现场后2小时内解决问题；必要时，联系原厂技术工程师现场配合指导处理。</w:t>
      </w:r>
    </w:p>
    <w:p w14:paraId="28224B9C">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提供详细的运维团队组织架构（两名以上专职运维人员）详细的工作安排及项目管理方案，及拟参与本次项目的成员的资历、学历、资质、业绩等证明文件。供应商在签订合同前提供专职服务人员的无违法犯罪记录证明材料，专职服务人员与供应商、院方签订保密协议。</w:t>
      </w:r>
    </w:p>
    <w:p w14:paraId="3EED5DEE">
      <w:pPr>
        <w:keepNext w:val="0"/>
        <w:keepLines w:val="0"/>
        <w:pageBreakBefore w:val="0"/>
        <w:kinsoku/>
        <w:wordWrap/>
        <w:overflowPunct/>
        <w:topLinePunct w:val="0"/>
        <w:autoSpaceDE/>
        <w:autoSpaceDN/>
        <w:bidi w:val="0"/>
        <w:spacing w:line="440" w:lineRule="exact"/>
        <w:ind w:left="239" w:leftChars="114" w:firstLine="240" w:firstLineChars="100"/>
        <w:textAlignment w:val="auto"/>
        <w:rPr>
          <w:rFonts w:hint="eastAsia"/>
          <w:b/>
          <w:sz w:val="28"/>
          <w:szCs w:val="28"/>
        </w:rPr>
      </w:pPr>
      <w:r>
        <w:rPr>
          <w:rFonts w:hint="eastAsia" w:ascii="仿宋" w:hAnsi="仿宋" w:eastAsia="仿宋" w:cs="仿宋"/>
          <w:kern w:val="2"/>
          <w:sz w:val="24"/>
          <w:szCs w:val="24"/>
          <w:lang w:val="en-US" w:eastAsia="zh-CN" w:bidi="ar-SA"/>
        </w:rPr>
        <w:t>8、应急服务：突发网络安全应急事件或者严重安全告警事件时，需为院方提供及时提供现场或者远程技术支持，在维保期内提供不限次数与设备功能相关的网络安全技术咨询服务。</w:t>
      </w:r>
    </w:p>
    <w:p w14:paraId="1CCE7563">
      <w:pPr>
        <w:spacing w:line="340" w:lineRule="exact"/>
        <w:jc w:val="both"/>
        <w:rPr>
          <w:rFonts w:hint="eastAsia" w:ascii="宋体" w:hAnsi="宋体"/>
          <w:b w:val="0"/>
          <w:i w:val="0"/>
          <w:caps w:val="0"/>
          <w:spacing w:val="0"/>
          <w:w w:val="100"/>
          <w:sz w:val="24"/>
          <w:szCs w:val="24"/>
          <w:highlight w:val="none"/>
          <w:lang w:val="en-US" w:eastAsia="zh-CN"/>
        </w:rPr>
      </w:pPr>
    </w:p>
    <w:p w14:paraId="27BDFC6A">
      <w:pPr>
        <w:numPr>
          <w:ilvl w:val="0"/>
          <w:numId w:val="0"/>
        </w:numPr>
        <w:rPr>
          <w:rFonts w:hint="eastAsia" w:ascii="仿宋" w:hAnsi="仿宋" w:eastAsia="仿宋" w:cs="仿宋"/>
          <w:b w:val="0"/>
          <w:bCs w:val="0"/>
          <w:sz w:val="24"/>
          <w:szCs w:val="24"/>
        </w:rPr>
      </w:pPr>
    </w:p>
    <w:p w14:paraId="02FF1227">
      <w:pPr>
        <w:rPr>
          <w:rFonts w:hint="eastAsia" w:ascii="仿宋" w:hAnsi="仿宋" w:eastAsia="仿宋" w:cs="仿宋"/>
          <w:b/>
          <w:bCs w:val="0"/>
          <w:kern w:val="2"/>
          <w:sz w:val="24"/>
          <w:szCs w:val="24"/>
          <w:lang w:val="en-US" w:eastAsia="zh-CN" w:bidi="ar-SA"/>
        </w:rPr>
      </w:pPr>
    </w:p>
    <w:p w14:paraId="0001E5DE">
      <w:pPr>
        <w:jc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（三）商务要求</w:t>
      </w:r>
    </w:p>
    <w:bookmarkEnd w:id="0"/>
    <w:p w14:paraId="1E69B650">
      <w:pPr>
        <w:keepNext w:val="0"/>
        <w:keepLines w:val="0"/>
        <w:pageBreakBefore w:val="0"/>
        <w:kinsoku/>
        <w:wordWrap/>
        <w:overflowPunct/>
        <w:topLinePunct w:val="0"/>
        <w:autoSpaceDE/>
        <w:autoSpaceDN/>
        <w:bidi w:val="0"/>
        <w:spacing w:line="440" w:lineRule="exact"/>
        <w:ind w:firstLine="480" w:firstLineChars="200"/>
        <w:textAlignment w:val="auto"/>
        <w:outlineLvl w:val="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zh-CN" w:eastAsia="zh-CN" w:bidi="ar-SA"/>
        </w:rPr>
        <w:t>、</w:t>
      </w:r>
      <w:r>
        <w:rPr>
          <w:rFonts w:hint="eastAsia" w:ascii="仿宋" w:hAnsi="仿宋" w:eastAsia="仿宋" w:cs="仿宋"/>
          <w:kern w:val="2"/>
          <w:sz w:val="24"/>
          <w:szCs w:val="24"/>
          <w:lang w:val="en-US" w:eastAsia="zh-CN" w:bidi="ar-SA"/>
        </w:rPr>
        <w:t>服务期限：成交供应商应在合同签订之日起30个工作日内完成项目的全部建设工作。包括前期机房的实地勘察调研，相关设备的上架、测试、正常接入网络运行业务，保证系统能够按照技术参数制定的需求进行运行和管理。</w:t>
      </w:r>
    </w:p>
    <w:p w14:paraId="1357339E">
      <w:pPr>
        <w:keepNext w:val="0"/>
        <w:keepLines w:val="0"/>
        <w:pageBreakBefore w:val="0"/>
        <w:kinsoku/>
        <w:wordWrap/>
        <w:overflowPunct/>
        <w:topLinePunct w:val="0"/>
        <w:autoSpaceDE/>
        <w:autoSpaceDN/>
        <w:bidi w:val="0"/>
        <w:spacing w:line="440" w:lineRule="exact"/>
        <w:ind w:firstLine="480" w:firstLineChars="200"/>
        <w:textAlignment w:val="auto"/>
        <w:outlineLvl w:val="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zh-CN" w:eastAsia="zh-CN" w:bidi="ar-SA"/>
        </w:rPr>
        <w:t>、服务地点：马鞍山市</w:t>
      </w:r>
      <w:r>
        <w:rPr>
          <w:rFonts w:hint="eastAsia" w:ascii="仿宋" w:hAnsi="仿宋" w:eastAsia="仿宋" w:cs="仿宋"/>
          <w:kern w:val="2"/>
          <w:sz w:val="24"/>
          <w:szCs w:val="24"/>
          <w:lang w:val="en-US" w:eastAsia="zh-CN" w:bidi="ar-SA"/>
        </w:rPr>
        <w:t>中医院</w:t>
      </w:r>
      <w:r>
        <w:rPr>
          <w:rFonts w:hint="eastAsia" w:ascii="仿宋" w:hAnsi="仿宋" w:eastAsia="仿宋" w:cs="仿宋"/>
          <w:kern w:val="2"/>
          <w:sz w:val="24"/>
          <w:szCs w:val="24"/>
          <w:lang w:val="zh-CN" w:eastAsia="zh-CN" w:bidi="ar-SA"/>
        </w:rPr>
        <w:t>（采购人指定地点）。</w:t>
      </w:r>
    </w:p>
    <w:p w14:paraId="51DF4A94">
      <w:pPr>
        <w:keepNext w:val="0"/>
        <w:keepLines w:val="0"/>
        <w:pageBreakBefore w:val="0"/>
        <w:numPr>
          <w:ilvl w:val="0"/>
          <w:numId w:val="0"/>
        </w:numPr>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kern w:val="2"/>
          <w:sz w:val="24"/>
          <w:szCs w:val="24"/>
          <w:highlight w:val="none"/>
          <w:lang w:val="zh-CN" w:eastAsia="zh-CN" w:bidi="ar-SA"/>
        </w:rPr>
        <w:t>质保期限：自项目验收完成之日起</w:t>
      </w:r>
      <w:r>
        <w:rPr>
          <w:rFonts w:hint="eastAsia" w:ascii="仿宋" w:hAnsi="仿宋" w:eastAsia="仿宋" w:cs="仿宋"/>
          <w:kern w:val="2"/>
          <w:sz w:val="24"/>
          <w:szCs w:val="24"/>
          <w:highlight w:val="none"/>
          <w:lang w:val="en-US" w:eastAsia="zh-CN" w:bidi="ar-SA"/>
        </w:rPr>
        <w:t>,提供3年原厂质保及升级服务。</w:t>
      </w:r>
    </w:p>
    <w:p w14:paraId="0B3F4A4A">
      <w:pPr>
        <w:keepNext w:val="0"/>
        <w:keepLines w:val="0"/>
        <w:pageBreakBefore w:val="0"/>
        <w:numPr>
          <w:ilvl w:val="0"/>
          <w:numId w:val="0"/>
        </w:numPr>
        <w:kinsoku/>
        <w:wordWrap/>
        <w:overflowPunct/>
        <w:topLinePunct w:val="0"/>
        <w:autoSpaceDE/>
        <w:autoSpaceDN/>
        <w:bidi w:val="0"/>
        <w:spacing w:line="440" w:lineRule="exact"/>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zh-CN" w:eastAsia="zh-CN" w:bidi="ar-SA"/>
        </w:rPr>
        <w:t>付款方式：自项目验收合格后30日内支付合同金额的90%；自项目验收合格</w:t>
      </w:r>
      <w:r>
        <w:rPr>
          <w:rFonts w:hint="eastAsia" w:ascii="仿宋" w:hAnsi="仿宋" w:eastAsia="仿宋" w:cs="仿宋"/>
          <w:kern w:val="2"/>
          <w:sz w:val="24"/>
          <w:szCs w:val="24"/>
          <w:lang w:val="en-US" w:eastAsia="zh-CN" w:bidi="ar-SA"/>
        </w:rPr>
        <w:t>之日起</w:t>
      </w:r>
      <w:r>
        <w:rPr>
          <w:rFonts w:hint="eastAsia" w:ascii="仿宋" w:hAnsi="仿宋" w:eastAsia="仿宋" w:cs="仿宋"/>
          <w:kern w:val="2"/>
          <w:sz w:val="24"/>
          <w:szCs w:val="24"/>
          <w:lang w:val="zh-CN" w:eastAsia="zh-CN" w:bidi="ar-SA"/>
        </w:rPr>
        <w:t>，项目</w:t>
      </w:r>
      <w:r>
        <w:rPr>
          <w:rFonts w:hint="eastAsia" w:ascii="仿宋" w:hAnsi="仿宋" w:eastAsia="仿宋" w:cs="仿宋"/>
          <w:kern w:val="2"/>
          <w:sz w:val="24"/>
          <w:szCs w:val="24"/>
          <w:lang w:val="en-US" w:eastAsia="zh-CN" w:bidi="ar-SA"/>
        </w:rPr>
        <w:t>质保</w:t>
      </w:r>
      <w:r>
        <w:rPr>
          <w:rFonts w:hint="eastAsia" w:ascii="仿宋" w:hAnsi="仿宋" w:eastAsia="仿宋" w:cs="仿宋"/>
          <w:kern w:val="2"/>
          <w:sz w:val="24"/>
          <w:szCs w:val="24"/>
          <w:lang w:val="zh-CN" w:eastAsia="zh-CN" w:bidi="ar-SA"/>
        </w:rPr>
        <w:t>服务期满三年后支付合同金额的10%。</w:t>
      </w:r>
    </w:p>
    <w:p w14:paraId="4B100A8C">
      <w:pPr>
        <w:keepNext w:val="0"/>
        <w:keepLines w:val="0"/>
        <w:pageBreakBefore w:val="0"/>
        <w:numPr>
          <w:ilvl w:val="0"/>
          <w:numId w:val="0"/>
        </w:numPr>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5、</w:t>
      </w:r>
      <w:r>
        <w:rPr>
          <w:rFonts w:hint="eastAsia" w:ascii="仿宋" w:hAnsi="仿宋" w:eastAsia="仿宋" w:cs="仿宋"/>
          <w:kern w:val="2"/>
          <w:sz w:val="24"/>
          <w:szCs w:val="24"/>
          <w:lang w:val="zh-CN" w:eastAsia="zh-CN" w:bidi="ar-SA"/>
        </w:rPr>
        <w:t>成交供应商在项目实施过程中，国家对相关</w:t>
      </w:r>
      <w:bookmarkStart w:id="2" w:name="_GoBack"/>
      <w:bookmarkEnd w:id="2"/>
      <w:r>
        <w:rPr>
          <w:rFonts w:hint="eastAsia" w:ascii="仿宋" w:hAnsi="仿宋" w:eastAsia="仿宋" w:cs="仿宋"/>
          <w:kern w:val="2"/>
          <w:sz w:val="24"/>
          <w:szCs w:val="24"/>
          <w:lang w:val="zh-CN" w:eastAsia="zh-CN" w:bidi="ar-SA"/>
        </w:rPr>
        <w:t>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11CA719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6</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投标文件中为本项目配备的人员力量，在合同履行期间，成交供应商须按采购人要求到达本项目现场提供相应服务，否则采购人有权解除采购合同。</w:t>
      </w:r>
    </w:p>
    <w:p w14:paraId="6C6CDA5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7、成交供应商须设有运维服务电话，负责解答用户在使用中遇到的问题，及时提出解决问题的建议和操作方法。</w:t>
      </w:r>
    </w:p>
    <w:p w14:paraId="02A73B8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8</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服务响应时间：成交供应商需设有专门的服务队伍，建立完备的响应机制。如出现服务问题，电话响应无法解决，成交供应商必须在接到电话2小时内到达现场，4小时内解决问题。</w:t>
      </w:r>
    </w:p>
    <w:p w14:paraId="639DC689">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9</w:t>
      </w:r>
      <w:r>
        <w:rPr>
          <w:rFonts w:hint="default" w:ascii="仿宋" w:hAnsi="仿宋" w:eastAsia="仿宋" w:cs="仿宋"/>
          <w:kern w:val="2"/>
          <w:sz w:val="24"/>
          <w:szCs w:val="24"/>
          <w:lang w:val="zh-CN" w:eastAsia="zh-CN" w:bidi="ar-SA"/>
        </w:rPr>
        <w:t>、验收：</w:t>
      </w:r>
    </w:p>
    <w:p w14:paraId="053FB157">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9</w:t>
      </w:r>
      <w:r>
        <w:rPr>
          <w:rFonts w:hint="default" w:ascii="仿宋" w:hAnsi="仿宋" w:eastAsia="仿宋" w:cs="仿宋"/>
          <w:kern w:val="2"/>
          <w:sz w:val="24"/>
          <w:szCs w:val="24"/>
          <w:lang w:val="zh-CN" w:eastAsia="zh-CN" w:bidi="ar-SA"/>
        </w:rPr>
        <w:t>.1采购人和相关部门按照招标文件和招标响应文件进行验收。招标文件没有规定和招标响应文件没有相应承诺的，按照下列原则进行验收：有国家标准的按照国家标准验收，没有国家标准的按行业标准验收，无行业标准的按地方或企业标准验收，成交投标人予以配合。涉及需要由其他相关行业主管部门验收的项目，采购人须约请相关部门和专家参加项目验收。</w:t>
      </w:r>
    </w:p>
    <w:p w14:paraId="59A9DD7A">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9</w:t>
      </w:r>
      <w:r>
        <w:rPr>
          <w:rFonts w:hint="default" w:ascii="仿宋" w:hAnsi="仿宋" w:eastAsia="仿宋" w:cs="仿宋"/>
          <w:kern w:val="2"/>
          <w:sz w:val="24"/>
          <w:szCs w:val="24"/>
          <w:lang w:val="zh-CN" w:eastAsia="zh-CN" w:bidi="ar-SA"/>
        </w:rPr>
        <w:t>.2采购人及相关行业主管部门对项目进行全面的验收，对验收中暴露出来的问题，成交投标人应及时进行整改，整改后仍达不到验收标准的，采购人有权取消成交投标人资格。</w:t>
      </w:r>
    </w:p>
    <w:p w14:paraId="394E9D3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r>
        <w:rPr>
          <w:rFonts w:hint="eastAsia" w:ascii="仿宋" w:hAnsi="仿宋" w:eastAsia="仿宋" w:cs="仿宋"/>
          <w:kern w:val="2"/>
          <w:sz w:val="24"/>
          <w:szCs w:val="24"/>
          <w:lang w:val="zh-CN" w:eastAsia="zh-CN" w:bidi="ar-SA"/>
        </w:rPr>
        <w:t>本项目总投标价包含了交付使用前的全部费用及所有价内价外税金及合理利润等，</w:t>
      </w:r>
      <w:r>
        <w:rPr>
          <w:rFonts w:hint="eastAsia" w:ascii="仿宋" w:hAnsi="仿宋" w:eastAsia="仿宋" w:cs="仿宋"/>
          <w:kern w:val="2"/>
          <w:sz w:val="24"/>
          <w:szCs w:val="24"/>
          <w:lang w:val="en-US" w:eastAsia="zh-CN" w:bidi="ar-SA"/>
        </w:rPr>
        <w:t>不再产生任何二次费用。</w:t>
      </w:r>
    </w:p>
    <w:p w14:paraId="5BFA1B1D">
      <w:pPr>
        <w:rPr>
          <w:rFonts w:hint="eastAsia" w:ascii="宋体" w:hAnsi="宋体" w:eastAsia="宋体" w:cs="宋体"/>
          <w:sz w:val="24"/>
          <w:lang w:val="en-US" w:eastAsia="zh-CN"/>
        </w:rPr>
      </w:pPr>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0"/>
    <w:family w:val="roman"/>
    <w:pitch w:val="default"/>
    <w:sig w:usb0="00000000" w:usb1="00000000" w:usb2="0000006E" w:usb3="00000000" w:csb0="00000002" w:csb1="0062E6A4"/>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DF72">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51E737A5">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9717">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0D8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VjOGUxODk1YzY2NTUxMWVjNzRmZDgxYTIzNjVjOGQifQ=="/>
  </w:docVars>
  <w:rsids>
    <w:rsidRoot w:val="00000000"/>
    <w:rsid w:val="006335AF"/>
    <w:rsid w:val="020A3257"/>
    <w:rsid w:val="03CB7491"/>
    <w:rsid w:val="052A3046"/>
    <w:rsid w:val="05C65170"/>
    <w:rsid w:val="05EB0880"/>
    <w:rsid w:val="062E4AEA"/>
    <w:rsid w:val="06CC51B2"/>
    <w:rsid w:val="06E339B1"/>
    <w:rsid w:val="07E96A1E"/>
    <w:rsid w:val="09175C96"/>
    <w:rsid w:val="0A6C6349"/>
    <w:rsid w:val="0B8A6221"/>
    <w:rsid w:val="16135A37"/>
    <w:rsid w:val="18026B8B"/>
    <w:rsid w:val="187263AC"/>
    <w:rsid w:val="1A5A58C9"/>
    <w:rsid w:val="1BE30673"/>
    <w:rsid w:val="1C7F35CF"/>
    <w:rsid w:val="1EA6006C"/>
    <w:rsid w:val="200B3B6B"/>
    <w:rsid w:val="20230655"/>
    <w:rsid w:val="21072CC7"/>
    <w:rsid w:val="2214117B"/>
    <w:rsid w:val="22F722B3"/>
    <w:rsid w:val="230044F9"/>
    <w:rsid w:val="25253F4E"/>
    <w:rsid w:val="25D6079F"/>
    <w:rsid w:val="27E74129"/>
    <w:rsid w:val="28901CFF"/>
    <w:rsid w:val="28A63A77"/>
    <w:rsid w:val="28E75901"/>
    <w:rsid w:val="298F1778"/>
    <w:rsid w:val="2F3A581B"/>
    <w:rsid w:val="2F683B53"/>
    <w:rsid w:val="2F937E28"/>
    <w:rsid w:val="30C2420B"/>
    <w:rsid w:val="310E58A1"/>
    <w:rsid w:val="322F2D66"/>
    <w:rsid w:val="32354DFC"/>
    <w:rsid w:val="323653FE"/>
    <w:rsid w:val="33082D45"/>
    <w:rsid w:val="3459486C"/>
    <w:rsid w:val="36EF52AD"/>
    <w:rsid w:val="38402058"/>
    <w:rsid w:val="3B326DB3"/>
    <w:rsid w:val="3C4E2A76"/>
    <w:rsid w:val="3CD016DD"/>
    <w:rsid w:val="3D94095C"/>
    <w:rsid w:val="40147341"/>
    <w:rsid w:val="42917E16"/>
    <w:rsid w:val="449C2FE1"/>
    <w:rsid w:val="484B78BD"/>
    <w:rsid w:val="494D732E"/>
    <w:rsid w:val="4BC7781D"/>
    <w:rsid w:val="4D20467D"/>
    <w:rsid w:val="50146947"/>
    <w:rsid w:val="51C74FB8"/>
    <w:rsid w:val="51F635A0"/>
    <w:rsid w:val="52FA6DA5"/>
    <w:rsid w:val="57C00874"/>
    <w:rsid w:val="58D331A8"/>
    <w:rsid w:val="5C013209"/>
    <w:rsid w:val="5C6B760E"/>
    <w:rsid w:val="5D2121DE"/>
    <w:rsid w:val="5EEC10DE"/>
    <w:rsid w:val="5FF608A7"/>
    <w:rsid w:val="602D5FC1"/>
    <w:rsid w:val="608A34B1"/>
    <w:rsid w:val="63CE4319"/>
    <w:rsid w:val="63D95EC9"/>
    <w:rsid w:val="64702AD3"/>
    <w:rsid w:val="6C6E4B04"/>
    <w:rsid w:val="6D8E7496"/>
    <w:rsid w:val="6E16292A"/>
    <w:rsid w:val="7075590D"/>
    <w:rsid w:val="71CC2454"/>
    <w:rsid w:val="72DC3AFD"/>
    <w:rsid w:val="735C50AE"/>
    <w:rsid w:val="73E8476A"/>
    <w:rsid w:val="73F364FA"/>
    <w:rsid w:val="74742919"/>
    <w:rsid w:val="747B3DF9"/>
    <w:rsid w:val="74EE54C4"/>
    <w:rsid w:val="750730DA"/>
    <w:rsid w:val="753B3DF9"/>
    <w:rsid w:val="77C83757"/>
    <w:rsid w:val="77E640D1"/>
    <w:rsid w:val="780B0ECF"/>
    <w:rsid w:val="78D6764B"/>
    <w:rsid w:val="78E57CE3"/>
    <w:rsid w:val="7A0D74F1"/>
    <w:rsid w:val="7A992BBA"/>
    <w:rsid w:val="7B404F0F"/>
    <w:rsid w:val="7B450E59"/>
    <w:rsid w:val="7E6C6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4"/>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paragraph" w:styleId="4">
    <w:name w:val="heading 2"/>
    <w:basedOn w:val="1"/>
    <w:next w:val="1"/>
    <w:qFormat/>
    <w:uiPriority w:val="0"/>
    <w:pPr>
      <w:keepNext/>
      <w:keepLines/>
      <w:spacing w:before="260" w:after="260" w:line="412" w:lineRule="auto"/>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4"/>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28"/>
    <w:qFormat/>
    <w:uiPriority w:val="0"/>
    <w:pPr>
      <w:jc w:val="left"/>
    </w:pPr>
    <w:rPr>
      <w:rFonts w:ascii="Arial" w:hAnsi="Arial" w:eastAsia="黑体"/>
      <w:b/>
      <w:sz w:val="32"/>
    </w:rPr>
  </w:style>
  <w:style w:type="paragraph" w:styleId="7">
    <w:name w:val="Body Text Indent"/>
    <w:basedOn w:val="1"/>
    <w:link w:val="29"/>
    <w:semiHidden/>
    <w:unhideWhenUsed/>
    <w:qFormat/>
    <w:uiPriority w:val="99"/>
    <w:pPr>
      <w:spacing w:after="120"/>
      <w:ind w:left="420" w:leftChars="200"/>
    </w:pPr>
  </w:style>
  <w:style w:type="paragraph" w:styleId="8">
    <w:name w:val="Date"/>
    <w:basedOn w:val="1"/>
    <w:next w:val="1"/>
    <w:link w:val="26"/>
    <w:semiHidden/>
    <w:unhideWhenUsed/>
    <w:qFormat/>
    <w:uiPriority w:val="99"/>
    <w:pPr>
      <w:ind w:left="100" w:leftChars="2500"/>
    </w:pPr>
  </w:style>
  <w:style w:type="paragraph" w:styleId="9">
    <w:name w:val="Body Text Indent 2"/>
    <w:basedOn w:val="1"/>
    <w:qFormat/>
    <w:uiPriority w:val="0"/>
    <w:pPr>
      <w:spacing w:after="120" w:line="480" w:lineRule="auto"/>
      <w:ind w:left="420" w:leftChars="200"/>
    </w:pPr>
    <w:rPr>
      <w:rFonts w:ascii="宋体"/>
      <w:sz w:val="32"/>
      <w:szCs w:val="22"/>
    </w:r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0"/>
    <w:pPr>
      <w:tabs>
        <w:tab w:val="center" w:pos="4153"/>
        <w:tab w:val="right" w:pos="8306"/>
      </w:tabs>
      <w:snapToGrid w:val="0"/>
      <w:jc w:val="left"/>
    </w:pPr>
    <w:rPr>
      <w:sz w:val="18"/>
      <w:szCs w:val="18"/>
    </w:rPr>
  </w:style>
  <w:style w:type="paragraph" w:styleId="12">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210"/>
    </w:pPr>
    <w:rPr>
      <w:rFonts w:ascii="Calibri" w:hAnsi="Calibri" w:eastAsia="宋体" w:cs="Times New Roman"/>
      <w:szCs w:val="24"/>
    </w:rPr>
  </w:style>
  <w:style w:type="paragraph" w:styleId="14">
    <w:name w:val="Body Text 2"/>
    <w:basedOn w:val="1"/>
    <w:next w:val="1"/>
    <w:qFormat/>
    <w:uiPriority w:val="0"/>
    <w:pPr>
      <w:spacing w:after="120" w:line="480" w:lineRule="auto"/>
    </w:pPr>
    <w:rPr>
      <w:kern w:val="0"/>
      <w:sz w:val="20"/>
      <w:szCs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7"/>
    <w:link w:val="30"/>
    <w:semiHidden/>
    <w:unhideWhenUsed/>
    <w:qFormat/>
    <w:uiPriority w:val="99"/>
    <w:pPr>
      <w:ind w:firstLine="420" w:firstLineChars="200"/>
    </w:pPr>
  </w:style>
  <w:style w:type="table" w:styleId="18">
    <w:name w:val="Table Grid"/>
    <w:basedOn w:val="1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semiHidden/>
    <w:unhideWhenUsed/>
    <w:qFormat/>
    <w:uiPriority w:val="99"/>
    <w:rPr>
      <w:rFonts w:cs="Times New Roman"/>
    </w:rPr>
  </w:style>
  <w:style w:type="character" w:styleId="22">
    <w:name w:val="Hyperlink"/>
    <w:basedOn w:val="19"/>
    <w:unhideWhenUsed/>
    <w:qFormat/>
    <w:uiPriority w:val="99"/>
    <w:rPr>
      <w:color w:val="0000FF"/>
      <w:u w:val="single"/>
    </w:rPr>
  </w:style>
  <w:style w:type="paragraph" w:customStyle="1"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页眉 Char"/>
    <w:basedOn w:val="19"/>
    <w:link w:val="12"/>
    <w:semiHidden/>
    <w:qFormat/>
    <w:uiPriority w:val="99"/>
    <w:rPr>
      <w:sz w:val="18"/>
      <w:szCs w:val="18"/>
    </w:rPr>
  </w:style>
  <w:style w:type="character" w:customStyle="1" w:styleId="25">
    <w:name w:val="页脚 Char"/>
    <w:basedOn w:val="19"/>
    <w:link w:val="11"/>
    <w:qFormat/>
    <w:uiPriority w:val="0"/>
    <w:rPr>
      <w:sz w:val="18"/>
      <w:szCs w:val="18"/>
    </w:rPr>
  </w:style>
  <w:style w:type="character" w:customStyle="1" w:styleId="26">
    <w:name w:val="日期 Char"/>
    <w:basedOn w:val="19"/>
    <w:link w:val="8"/>
    <w:semiHidden/>
    <w:qFormat/>
    <w:uiPriority w:val="99"/>
  </w:style>
  <w:style w:type="character" w:customStyle="1" w:styleId="27">
    <w:name w:val="正文文本 Char"/>
    <w:link w:val="2"/>
    <w:qFormat/>
    <w:locked/>
    <w:uiPriority w:val="0"/>
    <w:rPr>
      <w:rFonts w:ascii="Arial" w:hAnsi="Arial" w:eastAsia="黑体"/>
      <w:b/>
      <w:sz w:val="32"/>
    </w:rPr>
  </w:style>
  <w:style w:type="character" w:customStyle="1" w:styleId="28">
    <w:name w:val="正文文本 Char1"/>
    <w:basedOn w:val="19"/>
    <w:link w:val="2"/>
    <w:semiHidden/>
    <w:qFormat/>
    <w:uiPriority w:val="99"/>
  </w:style>
  <w:style w:type="character" w:customStyle="1" w:styleId="29">
    <w:name w:val="正文文本缩进 Char"/>
    <w:basedOn w:val="19"/>
    <w:link w:val="7"/>
    <w:semiHidden/>
    <w:qFormat/>
    <w:uiPriority w:val="99"/>
  </w:style>
  <w:style w:type="character" w:customStyle="1" w:styleId="30">
    <w:name w:val="正文首行缩进 2 Char"/>
    <w:basedOn w:val="29"/>
    <w:link w:val="16"/>
    <w:semiHidden/>
    <w:qFormat/>
    <w:uiPriority w:val="99"/>
  </w:style>
  <w:style w:type="character" w:customStyle="1" w:styleId="31">
    <w:name w:val="批注框文本 Char"/>
    <w:basedOn w:val="19"/>
    <w:link w:val="10"/>
    <w:semiHidden/>
    <w:qFormat/>
    <w:uiPriority w:val="99"/>
    <w:rPr>
      <w:sz w:val="18"/>
      <w:szCs w:val="18"/>
    </w:rPr>
  </w:style>
  <w:style w:type="paragraph" w:customStyle="1" w:styleId="32">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33">
    <w:name w:val="目录 21"/>
    <w:basedOn w:val="1"/>
    <w:qFormat/>
    <w:uiPriority w:val="0"/>
    <w:pPr>
      <w:ind w:left="420"/>
    </w:pPr>
    <w:rPr>
      <w:rFonts w:eastAsia="仿宋_GB2312"/>
      <w:b/>
      <w:sz w:val="24"/>
    </w:rPr>
  </w:style>
  <w:style w:type="character" w:customStyle="1" w:styleId="34">
    <w:name w:val="标题 1 Char"/>
    <w:basedOn w:val="19"/>
    <w:link w:val="3"/>
    <w:qFormat/>
    <w:uiPriority w:val="0"/>
    <w:rPr>
      <w:rFonts w:ascii="Times New Roman" w:hAnsi="Times New Roman" w:eastAsia="黑体"/>
      <w:b/>
      <w:bCs/>
      <w:kern w:val="44"/>
      <w:sz w:val="30"/>
      <w:szCs w:val="44"/>
    </w:rPr>
  </w:style>
  <w:style w:type="character" w:customStyle="1" w:styleId="35">
    <w:name w:val="font101"/>
    <w:basedOn w:val="19"/>
    <w:qFormat/>
    <w:uiPriority w:val="0"/>
    <w:rPr>
      <w:rFonts w:hint="eastAsia" w:ascii="宋体" w:hAnsi="宋体" w:eastAsia="宋体" w:cs="宋体"/>
      <w:color w:val="FF0000"/>
      <w:sz w:val="20"/>
      <w:szCs w:val="20"/>
      <w:u w:val="none"/>
    </w:rPr>
  </w:style>
  <w:style w:type="paragraph" w:customStyle="1" w:styleId="36">
    <w:name w:val="节标题"/>
    <w:basedOn w:val="1"/>
    <w:next w:val="1"/>
    <w:qFormat/>
    <w:uiPriority w:val="0"/>
    <w:pPr>
      <w:widowControl/>
      <w:spacing w:line="289" w:lineRule="atLeast"/>
      <w:jc w:val="center"/>
      <w:textAlignment w:val="baseline"/>
    </w:pPr>
    <w:rPr>
      <w:color w:val="000000"/>
      <w:kern w:val="0"/>
      <w:sz w:val="28"/>
    </w:rPr>
  </w:style>
  <w:style w:type="paragraph" w:customStyle="1" w:styleId="37">
    <w:name w:val="p0"/>
    <w:basedOn w:val="1"/>
    <w:qFormat/>
    <w:uiPriority w:val="0"/>
    <w:pPr>
      <w:widowControl/>
    </w:pPr>
    <w:rPr>
      <w:rFonts w:cs="宋体"/>
      <w:kern w:val="0"/>
    </w:rPr>
  </w:style>
  <w:style w:type="paragraph" w:customStyle="1" w:styleId="38">
    <w:name w:val="列出段落1"/>
    <w:basedOn w:val="1"/>
    <w:qFormat/>
    <w:uiPriority w:val="0"/>
    <w:pPr>
      <w:widowControl/>
      <w:adjustRightInd w:val="0"/>
      <w:snapToGrid w:val="0"/>
      <w:spacing w:after="200" w:afterLines="0"/>
      <w:ind w:firstLine="420" w:firstLineChars="200"/>
      <w:jc w:val="left"/>
    </w:pPr>
    <w:rPr>
      <w:rFonts w:ascii="Tahoma" w:hAnsi="Tahoma" w:eastAsia="微软雅黑"/>
      <w:kern w:val="0"/>
      <w:sz w:val="22"/>
      <w:szCs w:val="22"/>
    </w:rPr>
  </w:style>
  <w:style w:type="paragraph" w:customStyle="1" w:styleId="39">
    <w:name w:val="哈哈正文"/>
    <w:basedOn w:val="1"/>
    <w:qFormat/>
    <w:uiPriority w:val="0"/>
    <w:pPr>
      <w:widowControl/>
      <w:spacing w:before="119" w:line="360" w:lineRule="auto"/>
      <w:ind w:left="567" w:firstLine="420" w:firstLineChars="232"/>
    </w:pPr>
    <w:rPr>
      <w:rFonts w:ascii="宋体" w:hAnsi="宋体"/>
      <w:sz w:val="24"/>
      <w:szCs w:val="20"/>
    </w:rPr>
  </w:style>
  <w:style w:type="paragraph" w:customStyle="1" w:styleId="40">
    <w:name w:val="列表段落1"/>
    <w:basedOn w:val="1"/>
    <w:qFormat/>
    <w:uiPriority w:val="34"/>
    <w:pPr>
      <w:ind w:firstLine="420" w:firstLineChars="200"/>
    </w:pPr>
  </w:style>
  <w:style w:type="paragraph" w:customStyle="1" w:styleId="41">
    <w:name w:val="标准正文样式"/>
    <w:basedOn w:val="1"/>
    <w:qFormat/>
    <w:uiPriority w:val="0"/>
    <w:pPr>
      <w:widowControl/>
      <w:spacing w:line="360" w:lineRule="auto"/>
      <w:ind w:firstLine="200" w:firstLineChars="200"/>
      <w:jc w:val="left"/>
    </w:pPr>
    <w:rPr>
      <w:sz w:val="24"/>
    </w:rPr>
  </w:style>
  <w:style w:type="paragraph" w:customStyle="1" w:styleId="42">
    <w:name w:val="_正文段落"/>
    <w:basedOn w:val="43"/>
    <w:qFormat/>
    <w:uiPriority w:val="0"/>
    <w:pPr>
      <w:widowControl w:val="0"/>
      <w:spacing w:beforeLines="15" w:afterLines="15" w:line="360" w:lineRule="auto"/>
      <w:ind w:firstLine="480" w:firstLineChars="200"/>
      <w:jc w:val="both"/>
    </w:pPr>
    <w:rPr>
      <w:rFonts w:hAnsi="宋体"/>
      <w:sz w:val="24"/>
      <w:szCs w:val="24"/>
    </w:rPr>
  </w:style>
  <w:style w:type="paragraph" w:customStyle="1" w:styleId="43">
    <w:name w:val="纯文本1"/>
    <w:basedOn w:val="1"/>
    <w:qFormat/>
    <w:uiPriority w:val="0"/>
    <w:pPr>
      <w:widowControl/>
      <w:jc w:val="left"/>
    </w:pPr>
    <w:rPr>
      <w:rFonts w:ascii="宋体" w:hAnsi="Courier New"/>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2688</Words>
  <Characters>2912</Characters>
  <Lines>6</Lines>
  <Paragraphs>1</Paragraphs>
  <TotalTime>1</TotalTime>
  <ScaleCrop>false</ScaleCrop>
  <LinksUpToDate>false</LinksUpToDate>
  <CharactersWithSpaces>2953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能能</cp:lastModifiedBy>
  <cp:lastPrinted>2024-08-02T08:38:00Z</cp:lastPrinted>
  <dcterms:modified xsi:type="dcterms:W3CDTF">2025-12-12T09:13:26Z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5454054EEDDD420495B91241D8CDEB4A</vt:lpwstr>
  </property>
  <property fmtid="{D5CDD505-2E9C-101B-9397-08002B2CF9AE}" pid="4" name="KSOTemplateDocerSaveRecord">
    <vt:lpwstr>eyJoZGlkIjoiNjVjOGUxODk1YzY2NTUxMWVjNzRmZDgxYTIzNjVjOGQiLCJ1c2VySWQiOiI1NTUzMTQ2MDYifQ==</vt:lpwstr>
  </property>
</Properties>
</file>