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C11E33D">
      <w:pPr>
        <w:tabs>
          <w:tab w:val="left" w:pos="1050"/>
        </w:tabs>
        <w:spacing w:line="460" w:lineRule="exact"/>
        <w:jc w:val="center"/>
        <w:outlineLvl w:val="2"/>
        <w:rPr>
          <w:rFonts w:hint="eastAsia" w:ascii="仿宋" w:hAnsi="仿宋" w:eastAsia="仿宋" w:cs="仿宋"/>
          <w:b/>
          <w:kern w:val="2"/>
          <w:sz w:val="28"/>
          <w:szCs w:val="28"/>
          <w:lang w:val="en-US" w:eastAsia="zh-CN" w:bidi="ar-SA"/>
        </w:rPr>
      </w:pPr>
      <w:r>
        <w:rPr>
          <w:rFonts w:hint="eastAsia" w:ascii="仿宋" w:hAnsi="仿宋" w:eastAsia="仿宋" w:cs="仿宋"/>
          <w:b/>
          <w:kern w:val="2"/>
          <w:sz w:val="28"/>
          <w:szCs w:val="28"/>
          <w:lang w:val="en-US" w:eastAsia="zh-CN" w:bidi="ar-SA"/>
        </w:rPr>
        <w:t>马鞍山市中医院安防监控维保服务项目内容及相关要求</w:t>
      </w:r>
    </w:p>
    <w:p w14:paraId="5A35B2E7">
      <w:pPr>
        <w:tabs>
          <w:tab w:val="left" w:pos="1050"/>
        </w:tabs>
        <w:spacing w:line="460" w:lineRule="exact"/>
        <w:jc w:val="center"/>
        <w:outlineLvl w:val="2"/>
        <w:rPr>
          <w:rFonts w:hint="eastAsia" w:ascii="仿宋" w:hAnsi="仿宋" w:eastAsia="仿宋" w:cs="仿宋"/>
          <w:b/>
          <w:bCs w:val="0"/>
          <w:color w:val="FF0000"/>
          <w:kern w:val="2"/>
          <w:sz w:val="28"/>
          <w:szCs w:val="28"/>
          <w:highlight w:val="yellow"/>
          <w:lang w:val="en-US" w:eastAsia="zh-CN" w:bidi="ar-SA"/>
        </w:rPr>
      </w:pPr>
      <w:r>
        <w:rPr>
          <w:rFonts w:hint="eastAsia" w:ascii="仿宋" w:hAnsi="仿宋" w:eastAsia="仿宋" w:cs="仿宋"/>
          <w:b/>
          <w:bCs w:val="0"/>
          <w:color w:val="FF0000"/>
          <w:kern w:val="2"/>
          <w:sz w:val="28"/>
          <w:szCs w:val="28"/>
          <w:highlight w:val="yellow"/>
          <w:lang w:val="en-US" w:eastAsia="zh-CN" w:bidi="ar-SA"/>
        </w:rPr>
        <w:t>（本项目要求为不允许负偏离的实质性要求和条件）</w:t>
      </w:r>
    </w:p>
    <w:p w14:paraId="1E59856F">
      <w:pPr>
        <w:keepNext w:val="0"/>
        <w:keepLines w:val="0"/>
        <w:pageBreakBefore w:val="0"/>
        <w:widowControl w:val="0"/>
        <w:kinsoku/>
        <w:wordWrap/>
        <w:overflowPunct/>
        <w:topLinePunct w:val="0"/>
        <w:autoSpaceDE/>
        <w:autoSpaceDN/>
        <w:bidi w:val="0"/>
        <w:adjustRightInd/>
        <w:snapToGrid w:val="0"/>
        <w:spacing w:beforeAutospacing="0" w:afterAutospacing="0" w:line="560" w:lineRule="exact"/>
        <w:ind w:left="0" w:leftChars="0"/>
        <w:jc w:val="center"/>
        <w:textAlignment w:val="auto"/>
        <w:rPr>
          <w:rFonts w:hint="eastAsia" w:ascii="仿宋" w:hAnsi="仿宋" w:eastAsia="仿宋" w:cs="仿宋"/>
          <w:b/>
          <w:kern w:val="2"/>
          <w:sz w:val="28"/>
          <w:szCs w:val="28"/>
          <w:lang w:val="en-US" w:eastAsia="zh-CN" w:bidi="ar-SA"/>
        </w:rPr>
      </w:pPr>
    </w:p>
    <w:p w14:paraId="14C7A702">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一、采购预算</w:t>
      </w:r>
    </w:p>
    <w:p w14:paraId="35FAEC5E">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预算金额（人民币）：</w:t>
      </w:r>
      <w:r>
        <w:rPr>
          <w:rFonts w:hint="eastAsia" w:ascii="仿宋" w:hAnsi="仿宋" w:eastAsia="仿宋" w:cs="仿宋"/>
          <w:b/>
          <w:bCs w:val="0"/>
          <w:sz w:val="24"/>
          <w:szCs w:val="24"/>
          <w:u w:val="single"/>
          <w:lang w:val="en-US" w:eastAsia="zh-CN"/>
        </w:rPr>
        <w:t xml:space="preserve"> 23902 </w:t>
      </w:r>
      <w:r>
        <w:rPr>
          <w:rFonts w:hint="eastAsia" w:ascii="仿宋" w:hAnsi="仿宋" w:eastAsia="仿宋" w:cs="仿宋"/>
          <w:b/>
          <w:bCs w:val="0"/>
          <w:sz w:val="24"/>
          <w:szCs w:val="24"/>
          <w:lang w:val="en-US" w:eastAsia="zh-CN"/>
        </w:rPr>
        <w:t>元/年；最高限价（人民币）：</w:t>
      </w:r>
      <w:r>
        <w:rPr>
          <w:rFonts w:hint="eastAsia" w:ascii="仿宋" w:hAnsi="仿宋" w:eastAsia="仿宋" w:cs="仿宋"/>
          <w:b/>
          <w:bCs w:val="0"/>
          <w:sz w:val="24"/>
          <w:szCs w:val="24"/>
          <w:u w:val="single"/>
          <w:lang w:val="en-US" w:eastAsia="zh-CN"/>
        </w:rPr>
        <w:t xml:space="preserve"> 23902 </w:t>
      </w:r>
      <w:r>
        <w:rPr>
          <w:rFonts w:hint="eastAsia" w:ascii="仿宋" w:hAnsi="仿宋" w:eastAsia="仿宋" w:cs="仿宋"/>
          <w:b/>
          <w:bCs w:val="0"/>
          <w:sz w:val="24"/>
          <w:szCs w:val="24"/>
          <w:lang w:val="en-US" w:eastAsia="zh-CN"/>
        </w:rPr>
        <w:t>元/年。</w:t>
      </w:r>
    </w:p>
    <w:p w14:paraId="124D0D30">
      <w:pPr>
        <w:pageBreakBefore w:val="0"/>
        <w:kinsoku/>
        <w:wordWrap/>
        <w:topLinePunct w:val="0"/>
        <w:bidi w:val="0"/>
        <w:snapToGrid w:val="0"/>
        <w:spacing w:beforeAutospacing="0" w:afterAutospacing="0" w:line="440" w:lineRule="exact"/>
        <w:ind w:left="0" w:leftChars="0" w:right="0" w:rightChars="0"/>
        <w:jc w:val="left"/>
        <w:textAlignment w:val="auto"/>
        <w:rPr>
          <w:rFonts w:hint="eastAsia" w:ascii="仿宋" w:hAnsi="仿宋" w:eastAsia="仿宋" w:cs="仿宋"/>
          <w:b/>
          <w:bCs w:val="0"/>
          <w:sz w:val="24"/>
          <w:szCs w:val="24"/>
          <w:lang w:val="en-US" w:eastAsia="zh-CN"/>
        </w:rPr>
      </w:pPr>
      <w:bookmarkStart w:id="0" w:name="_Toc26868"/>
      <w:r>
        <w:rPr>
          <w:rFonts w:hint="eastAsia" w:ascii="仿宋" w:hAnsi="仿宋" w:eastAsia="仿宋" w:cs="仿宋"/>
          <w:b/>
          <w:bCs w:val="0"/>
          <w:sz w:val="24"/>
          <w:szCs w:val="24"/>
          <w:lang w:val="en-US" w:eastAsia="zh-CN"/>
        </w:rPr>
        <w:t>二、采购内容及相关要求</w:t>
      </w:r>
    </w:p>
    <w:p w14:paraId="312F6536">
      <w:pPr>
        <w:pageBreakBefore w:val="0"/>
        <w:kinsoku/>
        <w:wordWrap/>
        <w:topLinePunct w:val="0"/>
        <w:bidi w:val="0"/>
        <w:snapToGrid w:val="0"/>
        <w:spacing w:beforeAutospacing="0" w:afterAutospacing="0" w:line="440" w:lineRule="exact"/>
        <w:ind w:left="0" w:leftChars="0" w:right="0" w:right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val="en-US" w:eastAsia="zh-CN"/>
        </w:rPr>
        <w:t xml:space="preserve">        （一）采购清单</w:t>
      </w:r>
    </w:p>
    <w:tbl>
      <w:tblPr>
        <w:tblStyle w:val="17"/>
        <w:tblW w:w="8528" w:type="dxa"/>
        <w:tblInd w:w="29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80" w:type="dxa"/>
          <w:left w:w="128" w:type="dxa"/>
          <w:bottom w:w="80" w:type="dxa"/>
          <w:right w:w="128" w:type="dxa"/>
        </w:tblCellMar>
      </w:tblPr>
      <w:tblGrid>
        <w:gridCol w:w="5489"/>
        <w:gridCol w:w="1519"/>
        <w:gridCol w:w="1520"/>
      </w:tblGrid>
      <w:tr w14:paraId="74437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5489" w:type="dxa"/>
            <w:noWrap/>
            <w:vAlign w:val="center"/>
          </w:tcPr>
          <w:p w14:paraId="38FEBBA0">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hAnsi="仿宋" w:eastAsia="仿宋" w:cs="仿宋"/>
                <w:b/>
                <w:bCs w:val="0"/>
                <w:sz w:val="24"/>
                <w:szCs w:val="24"/>
                <w:lang w:val="en-US" w:eastAsia="zh-CN"/>
              </w:rPr>
            </w:pPr>
            <w:r>
              <w:rPr>
                <w:rFonts w:hint="eastAsia" w:ascii="仿宋" w:hAnsi="仿宋" w:eastAsia="仿宋" w:cs="仿宋"/>
                <w:b/>
                <w:bCs w:val="0"/>
                <w:sz w:val="24"/>
                <w:szCs w:val="24"/>
                <w:lang w:eastAsia="zh-CN"/>
              </w:rPr>
              <w:t>服务名称（标的名称）</w:t>
            </w:r>
          </w:p>
        </w:tc>
        <w:tc>
          <w:tcPr>
            <w:tcW w:w="1519" w:type="dxa"/>
            <w:noWrap/>
            <w:vAlign w:val="center"/>
          </w:tcPr>
          <w:p w14:paraId="77E5C572">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数量</w:t>
            </w:r>
          </w:p>
        </w:tc>
        <w:tc>
          <w:tcPr>
            <w:tcW w:w="1520" w:type="dxa"/>
            <w:noWrap/>
            <w:vAlign w:val="center"/>
          </w:tcPr>
          <w:p w14:paraId="1CBC8EE8">
            <w:pPr>
              <w:pageBreakBefore w:val="0"/>
              <w:kinsoku/>
              <w:wordWrap/>
              <w:topLinePunct w:val="0"/>
              <w:bidi w:val="0"/>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bCs/>
                <w:sz w:val="24"/>
                <w:szCs w:val="24"/>
                <w:lang w:val="en-US" w:eastAsia="zh-CN"/>
              </w:rPr>
            </w:pPr>
            <w:r>
              <w:rPr>
                <w:rFonts w:hint="eastAsia" w:ascii="仿宋" w:hAnsi="仿宋" w:eastAsia="仿宋" w:cs="仿宋"/>
                <w:b/>
                <w:sz w:val="24"/>
                <w:szCs w:val="24"/>
                <w:lang w:eastAsia="zh-CN"/>
              </w:rPr>
              <w:t>单位</w:t>
            </w:r>
          </w:p>
        </w:tc>
      </w:tr>
      <w:tr w14:paraId="2E488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5489" w:type="dxa"/>
            <w:shd w:val="clear" w:color="auto" w:fill="FFFFFF"/>
            <w:noWrap/>
            <w:vAlign w:val="center"/>
          </w:tcPr>
          <w:p w14:paraId="41B0D9A8">
            <w:pPr>
              <w:pStyle w:val="2"/>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4"/>
                <w:lang w:eastAsia="zh-CN"/>
              </w:rPr>
              <w:t>安防监控维保服务</w:t>
            </w:r>
          </w:p>
        </w:tc>
        <w:tc>
          <w:tcPr>
            <w:tcW w:w="1519" w:type="dxa"/>
            <w:noWrap/>
            <w:vAlign w:val="center"/>
          </w:tcPr>
          <w:p w14:paraId="2BEADF68">
            <w:pPr>
              <w:pStyle w:val="2"/>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1</w:t>
            </w:r>
          </w:p>
        </w:tc>
        <w:tc>
          <w:tcPr>
            <w:tcW w:w="1520" w:type="dxa"/>
            <w:noWrap/>
            <w:vAlign w:val="center"/>
          </w:tcPr>
          <w:p w14:paraId="214C1AF6">
            <w:pPr>
              <w:pStyle w:val="2"/>
              <w:keepNext w:val="0"/>
              <w:keepLines w:val="0"/>
              <w:pageBreakBefore w:val="0"/>
              <w:widowControl w:val="0"/>
              <w:kinsoku/>
              <w:wordWrap/>
              <w:overflowPunct/>
              <w:topLinePunct w:val="0"/>
              <w:autoSpaceDE/>
              <w:autoSpaceDN/>
              <w:bidi w:val="0"/>
              <w:adjustRightInd/>
              <w:snapToGrid w:val="0"/>
              <w:spacing w:beforeAutospacing="0" w:afterAutospacing="0" w:line="240" w:lineRule="auto"/>
              <w:ind w:left="0" w:leftChars="0" w:right="0" w:rightChars="0" w:firstLine="0" w:firstLineChars="0"/>
              <w:jc w:val="center"/>
              <w:textAlignment w:val="auto"/>
              <w:rPr>
                <w:rFonts w:hint="eastAsia" w:ascii="仿宋" w:eastAsia="仿宋" w:hAnsiTheme="minorEastAsia" w:cstheme="minorEastAsia"/>
                <w:b w:val="0"/>
                <w:bCs w:val="0"/>
                <w:sz w:val="24"/>
                <w:szCs w:val="22"/>
                <w:lang w:val="en-US" w:eastAsia="zh-CN"/>
              </w:rPr>
            </w:pPr>
            <w:r>
              <w:rPr>
                <w:rFonts w:hint="eastAsia" w:ascii="仿宋" w:hAnsi="仿宋" w:eastAsia="仿宋" w:cs="仿宋"/>
                <w:b w:val="0"/>
                <w:bCs/>
                <w:sz w:val="24"/>
                <w:szCs w:val="22"/>
                <w:vertAlign w:val="baseline"/>
                <w:lang w:val="en-US" w:eastAsia="zh-CN"/>
              </w:rPr>
              <w:t>项</w:t>
            </w:r>
          </w:p>
        </w:tc>
      </w:tr>
    </w:tbl>
    <w:p w14:paraId="26B59880">
      <w:pPr>
        <w:jc w:val="both"/>
        <w:rPr>
          <w:rFonts w:hint="eastAsia" w:asciiTheme="minorEastAsia" w:hAnsiTheme="minorEastAsia" w:eastAsiaTheme="minorEastAsia" w:cstheme="minorEastAsia"/>
          <w:b/>
          <w:color w:val="000000"/>
          <w:sz w:val="24"/>
          <w:szCs w:val="24"/>
          <w:lang w:val="en-US" w:eastAsia="zh-CN"/>
        </w:rPr>
      </w:pPr>
    </w:p>
    <w:p w14:paraId="1C4F26DF">
      <w:pPr>
        <w:jc w:val="center"/>
        <w:rPr>
          <w:rFonts w:hint="eastAsia" w:asciiTheme="minorEastAsia" w:hAnsiTheme="minorEastAsia" w:eastAsiaTheme="minorEastAsia" w:cstheme="minorEastAsia"/>
          <w:b/>
          <w:color w:val="000000"/>
          <w:sz w:val="24"/>
          <w:szCs w:val="24"/>
          <w:lang w:val="en-US" w:eastAsia="zh-CN"/>
        </w:rPr>
      </w:pPr>
    </w:p>
    <w:p w14:paraId="7BCAF646">
      <w:pPr>
        <w:spacing w:line="340" w:lineRule="exact"/>
        <w:ind w:firstLine="480" w:firstLineChars="200"/>
        <w:rPr>
          <w:rFonts w:hint="eastAsia" w:asciiTheme="minorEastAsia" w:hAnsiTheme="minorEastAsia" w:eastAsiaTheme="minorEastAsia" w:cstheme="minorEastAsia"/>
          <w:b w:val="0"/>
          <w:bCs w:val="0"/>
          <w:sz w:val="24"/>
          <w:szCs w:val="24"/>
          <w:lang w:val="en-US" w:eastAsia="zh-CN"/>
        </w:rPr>
      </w:pPr>
    </w:p>
    <w:p w14:paraId="6C238AF4">
      <w:pPr>
        <w:jc w:val="center"/>
        <w:rPr>
          <w:rFonts w:hint="default" w:ascii="仿宋" w:hAnsi="仿宋" w:eastAsia="仿宋" w:cs="仿宋"/>
          <w:b/>
          <w:bCs w:val="0"/>
          <w:sz w:val="24"/>
          <w:szCs w:val="24"/>
          <w:lang w:val="en-US" w:eastAsia="zh-CN"/>
        </w:rPr>
      </w:pPr>
      <w:r>
        <w:rPr>
          <w:rFonts w:hint="eastAsia" w:asciiTheme="minorEastAsia" w:hAnsiTheme="minorEastAsia" w:eastAsiaTheme="minorEastAsia" w:cstheme="minorEastAsia"/>
          <w:b/>
          <w:color w:val="000000"/>
          <w:sz w:val="24"/>
          <w:szCs w:val="24"/>
          <w:lang w:val="en-US" w:eastAsia="zh-CN"/>
        </w:rPr>
        <w:t xml:space="preserve"> </w:t>
      </w:r>
      <w:r>
        <w:rPr>
          <w:rFonts w:hint="eastAsia" w:ascii="仿宋" w:hAnsi="仿宋" w:eastAsia="仿宋" w:cs="仿宋"/>
          <w:b/>
          <w:bCs w:val="0"/>
          <w:sz w:val="24"/>
          <w:szCs w:val="24"/>
          <w:lang w:val="en-US" w:eastAsia="zh-CN"/>
        </w:rPr>
        <w:t xml:space="preserve">      （二）服务内容</w:t>
      </w:r>
    </w:p>
    <w:p w14:paraId="32309112">
      <w:pPr>
        <w:spacing w:line="520" w:lineRule="exact"/>
        <w:rPr>
          <w:rFonts w:hint="eastAsia" w:ascii="仿宋" w:hAnsi="仿宋" w:eastAsia="仿宋" w:cs="仿宋"/>
          <w:b/>
          <w:bCs/>
          <w:kern w:val="2"/>
          <w:sz w:val="24"/>
          <w:szCs w:val="24"/>
          <w:lang w:val="en-US" w:eastAsia="zh-CN" w:bidi="ar-SA"/>
        </w:rPr>
      </w:pPr>
      <w:bookmarkStart w:id="1" w:name="_Toc208416084"/>
      <w:r>
        <w:rPr>
          <w:rFonts w:hint="eastAsia" w:ascii="仿宋" w:hAnsi="仿宋" w:eastAsia="仿宋" w:cs="仿宋"/>
          <w:b/>
          <w:bCs/>
          <w:kern w:val="2"/>
          <w:sz w:val="24"/>
          <w:szCs w:val="24"/>
          <w:lang w:val="en-US" w:eastAsia="zh-CN" w:bidi="ar-SA"/>
        </w:rPr>
        <w:t>一、项目概况：</w:t>
      </w:r>
    </w:p>
    <w:bookmarkEnd w:id="1"/>
    <w:p w14:paraId="754587C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 xml:space="preserve">我院由南院区与东院区组成，下设桃源社区卫生服务中心、金家庄社区卫生服务中心以及江东社区卫生服务中心。目前，南院监控平台共有360路监控，东院监控平台有86路监控，桃源社区卫生服务中心有10路监控，金家庄社区卫生服务中心和江东社区卫生服务中心监控数量暂未完全明确。大部分监控设备已安装运行多年。本项目涵盖上述区域监控系统的增设、维修、扩容、设备维护等全方位安防监控服务。  </w:t>
      </w:r>
    </w:p>
    <w:p w14:paraId="6719F1C2">
      <w:pPr>
        <w:rPr>
          <w:rFonts w:hint="eastAsia" w:ascii="仿宋" w:hAnsi="仿宋" w:eastAsia="仿宋" w:cs="仿宋"/>
          <w:b/>
          <w:bCs/>
          <w:sz w:val="24"/>
          <w:szCs w:val="24"/>
          <w:lang w:val="en-US" w:eastAsia="zh-CN"/>
        </w:rPr>
      </w:pPr>
    </w:p>
    <w:p w14:paraId="7E25A2A4">
      <w:pPr>
        <w:spacing w:line="52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二、服务要求：</w:t>
      </w:r>
    </w:p>
    <w:p w14:paraId="2A34E53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1、维保服务：负责全院区安防监控系统的日常维护与保养，确保系统稳定运行，包括硬件设备的检查、维修或更换，定期巡检及人员培训等，严禁敷衍应付。</w:t>
      </w:r>
    </w:p>
    <w:p w14:paraId="621AC7DF">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2新增与更换：包括监控点位调整、配件更换、设备新增、系统扩容及移机等服务。依据货物一览表所列单价及数量执行，以满足零星监控更换与安装需求</w:t>
      </w:r>
    </w:p>
    <w:p w14:paraId="1F61D52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3、运维保障机制：应设立可靠的运维组织机构、技术支撑体系、信息安全保障机制及运行维护管理制度，确保维保工作顺利开展。</w:t>
      </w:r>
    </w:p>
    <w:p w14:paraId="5638A8EE">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服务响应时间：全年365天提供服务。接到报修后，应在2小时内抵达现场，4小时内排除故障；若4小时内无法修复，须在12小时内提供应急措施。新增设备服务时限由我院确定。提供7×24小时服务。未按规定时限完成任务的，每延迟2天扣除当次维保费用的5%，不足2天按2天计算。</w:t>
      </w:r>
    </w:p>
    <w:p w14:paraId="7F8745A6">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5、维护流程与计划：制定合理的系统维护流程与实施计划，全面掌握系统运行状况，保障系统安全稳定，故障发生时须及时排查与解决。</w:t>
      </w:r>
    </w:p>
    <w:p w14:paraId="2AE788D3">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6、维修与更换：提供设备维修、维护及新增服务，更换或维修的零部件须符合标准，确保系统正常运行。</w:t>
      </w:r>
    </w:p>
    <w:p w14:paraId="70B0393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7、工具与辅料：免费提供必要工具及辅料，包括但不限于梯子、打光笔、压线钳、寻线仪、水晶头、标签机、标签纸等。</w:t>
      </w:r>
    </w:p>
    <w:p w14:paraId="783980A5">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8、定期检查与记录：每月派遣经验丰富的工程师对系统进行全面检查，调整参数、优化性能，对需备份内容进行备份，提交维护报告。</w:t>
      </w:r>
    </w:p>
    <w:p w14:paraId="21FE8747">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9、现场技术支持：提供多种服务方式及全面的运维内容，具备完善的运维服务机制。</w:t>
      </w:r>
    </w:p>
    <w:p w14:paraId="2D4F40A2">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10、设备要求：维保期间更换或新增设备须为一年内生产的产品，所有进场货物须经采购人检验；设备必须是正规厂家生产，为原装正品，一经查出非原装正品将取消合作。</w:t>
      </w:r>
    </w:p>
    <w:p w14:paraId="17163A99">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11、验收与报告：每次维保服务结束后，由我院验收。中标人须提交维保报告，内容应包括维保日期、内容、设备品牌、型号、生产日期、价格、总费用及验收意见（由我院填写并确认最终价格），双方项目负责人签字盖章后生效。</w:t>
      </w:r>
    </w:p>
    <w:p w14:paraId="676E9A18">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12、报价依据：更换或新增设备须按货物一览表报价。</w:t>
      </w:r>
    </w:p>
    <w:p w14:paraId="4341DE79">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13、人员安全责任：中标人须为维保人员购买保险，承担全部安全责任，我院不承担相关费用。</w:t>
      </w:r>
    </w:p>
    <w:p w14:paraId="08EBCDE0">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14、联络机制：中标结果公示后，中标人应及时与采购人建立联系，互留手机号及微信等联系方式，组建项目微信群。项目负责人须为公司决策层人员，确保手机24小时畅通，工作日微信或群消息须在2小时内回复，未回复视为已收到。因联络不畅导致的后果由中标人承担。</w:t>
      </w:r>
    </w:p>
    <w:p w14:paraId="00FC7B5A">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15、警告与整改：若中标人服务出现严重问题，我院信息科将下发警告函，中标人须在规定时间内提交整改报告。警告函具有法律效力。</w:t>
      </w:r>
    </w:p>
    <w:p w14:paraId="4961DAD6">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16、货物清单：本项目设立货物一览表，详见附件1。</w:t>
      </w:r>
    </w:p>
    <w:p w14:paraId="39361B97">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17、货物替代原则：如货物一览表中设备停产，中标人应提供性能不低于原设备的主流品牌产品，价格不变。制造商及型号变更须经采购人同意。</w:t>
      </w:r>
    </w:p>
    <w:p w14:paraId="3D3810CA">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18、品牌要求：货物一览表中设备须为市场主流品牌，并注明具体品牌型号。</w:t>
      </w:r>
    </w:p>
    <w:p w14:paraId="2C4E73A3">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19、定期巡查：每月至少开展一次系统巡查，包括前端设备清洁、调整、故障排除，后端机房设备检测、维护，以及网络线路检测与隐患排查，发现问题及时处理。</w:t>
      </w:r>
    </w:p>
    <w:p w14:paraId="6292C218">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20、维修优先原则：设备故障应先尝试维修，无法修复方可更换，严禁未经检查即要求更换。</w:t>
      </w:r>
    </w:p>
    <w:p w14:paraId="411F1CE8">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21、网络拓扑图与点位信息：六个月内须提交南院与东院监控网络拓扑图及各楼层点位信息（含设备IP、交换机位置及连接信息等）。</w:t>
      </w:r>
    </w:p>
    <w:p w14:paraId="15C4D2A3">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22、本项目为小范围维修、新增服务，如遇大范围新增我院将通过招标进行，如果大范围新增我院决定走维保中标人不得拒绝。</w:t>
      </w:r>
    </w:p>
    <w:p w14:paraId="0E11220E">
      <w:pPr>
        <w:spacing w:line="520" w:lineRule="exact"/>
        <w:ind w:firstLine="480" w:firstLineChars="20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23、现场调研建议：建议进行现场调研，如因调研不足导致服务无法正常开展，相关后果及损失由投标方承担。</w:t>
      </w:r>
    </w:p>
    <w:p w14:paraId="173770F7">
      <w:pPr>
        <w:numPr>
          <w:ilvl w:val="0"/>
          <w:numId w:val="0"/>
        </w:numPr>
        <w:rPr>
          <w:rFonts w:hint="eastAsia" w:ascii="仿宋" w:hAnsi="仿宋" w:eastAsia="仿宋" w:cs="仿宋"/>
          <w:b/>
          <w:bCs/>
          <w:sz w:val="24"/>
          <w:szCs w:val="24"/>
        </w:rPr>
      </w:pPr>
    </w:p>
    <w:p w14:paraId="6416E899">
      <w:pPr>
        <w:numPr>
          <w:ilvl w:val="0"/>
          <w:numId w:val="0"/>
        </w:numPr>
        <w:rPr>
          <w:rFonts w:hint="eastAsia" w:ascii="仿宋" w:hAnsi="仿宋" w:eastAsia="仿宋" w:cs="仿宋"/>
          <w:b/>
          <w:bCs/>
          <w:sz w:val="24"/>
          <w:szCs w:val="24"/>
        </w:rPr>
      </w:pPr>
    </w:p>
    <w:p w14:paraId="3B7D8425">
      <w:pPr>
        <w:spacing w:line="520" w:lineRule="exact"/>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三、考核办法：</w:t>
      </w:r>
    </w:p>
    <w:p w14:paraId="1C3A9B00">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1.本次招标维保服务期为三年，合同每年一签，每季度考核一次。</w:t>
      </w:r>
    </w:p>
    <w:p w14:paraId="24C51EF0">
      <w:pPr>
        <w:widowControl w:val="0"/>
        <w:spacing w:line="520" w:lineRule="exact"/>
        <w:ind w:left="0" w:leftChars="0" w:firstLine="48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2.考核由我院信息科项目负责人执行。</w:t>
      </w:r>
    </w:p>
    <w:p w14:paraId="4D39012A">
      <w:pPr>
        <w:widowControl w:val="0"/>
        <w:spacing w:line="520" w:lineRule="exact"/>
        <w:ind w:left="0" w:leftChars="0" w:firstLine="48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3.年度内首个考核不合格季度扣除本季度5%费用，第二个不合格季度扣除10%费用。</w:t>
      </w:r>
    </w:p>
    <w:p w14:paraId="77EC22E6">
      <w:pPr>
        <w:widowControl w:val="0"/>
        <w:spacing w:line="520" w:lineRule="exact"/>
        <w:ind w:left="0" w:leftChars="0" w:firstLine="48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4.我院对考核结果不作解释。</w:t>
      </w:r>
    </w:p>
    <w:p w14:paraId="4DD3EC89">
      <w:pPr>
        <w:widowControl w:val="0"/>
        <w:spacing w:line="520" w:lineRule="exact"/>
        <w:ind w:left="0" w:leftChars="0" w:firstLine="480" w:firstLineChars="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5.考核表经信息科项目负责人签字并加盖信息科章后生效。</w:t>
      </w:r>
    </w:p>
    <w:p w14:paraId="60F2BE25">
      <w:pPr>
        <w:widowControl w:val="0"/>
        <w:spacing w:line="520" w:lineRule="exact"/>
        <w:ind w:left="0" w:leftChars="0"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具体考核办法详见附件2。</w:t>
      </w:r>
    </w:p>
    <w:p w14:paraId="11195F06">
      <w:pPr>
        <w:spacing w:line="340" w:lineRule="exact"/>
        <w:jc w:val="both"/>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四、合同续签与解除</w:t>
      </w:r>
    </w:p>
    <w:p w14:paraId="5FDB5E9B">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1.年度内四个季度考核均合格，方可续签合同。</w:t>
      </w:r>
    </w:p>
    <w:p w14:paraId="4858C7AF">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2.年度内两次考核不合格，我院有权解除合同，并不予支付任何赔偿。</w:t>
      </w:r>
    </w:p>
    <w:p w14:paraId="23B8BB4F">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3.如中标人未按我院要求提供货物或服务，我院有权解除合同，不予赔偿，并扣除当季度10%维保费用。</w:t>
      </w:r>
    </w:p>
    <w:p w14:paraId="5C310053">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4.年度内收到两次警告函或未按时提交整改报告，我院有权解除合同，不予赔偿，并扣除当季度10%费用。</w:t>
      </w:r>
    </w:p>
    <w:p w14:paraId="0927D44A">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5.同一季度内两次维保报告验收不合格，我院有权解除合同，不予赔偿，并扣除当季度10%费用。</w:t>
      </w:r>
    </w:p>
    <w:p w14:paraId="313542B9">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6.合同到期后，中标人应及时联系我院办理续签（合同内容须与原合同一致），逾期三个月未签署，合同自动解除，相关费用不予支付。续签期间维保服务须正常进行。</w:t>
      </w:r>
    </w:p>
    <w:p w14:paraId="7032F35C">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7.服务期内因上述第2至第5条原因解除合同的，我院将向中标人发送《马鞍山市中医院安防监控维保项目合同解除通知书》，自通知日期起合同正式解除。</w:t>
      </w:r>
    </w:p>
    <w:p w14:paraId="2BE13E8E">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8.因中标人原因解除合同的，一年内不得参与我院任何招标或询价。</w:t>
      </w:r>
    </w:p>
    <w:p w14:paraId="4FD07310">
      <w:pPr>
        <w:pStyle w:val="2"/>
        <w:rPr>
          <w:rFonts w:hint="eastAsia" w:ascii="仿宋" w:hAnsi="仿宋" w:eastAsia="仿宋" w:cs="仿宋"/>
          <w:kern w:val="2"/>
          <w:sz w:val="24"/>
          <w:szCs w:val="24"/>
          <w:lang w:val="en-US" w:eastAsia="zh-CN" w:bidi="ar-SA"/>
        </w:rPr>
      </w:pPr>
    </w:p>
    <w:p w14:paraId="3EACA4AC">
      <w:pPr>
        <w:spacing w:line="340" w:lineRule="exact"/>
        <w:jc w:val="both"/>
        <w:rPr>
          <w:rFonts w:hint="eastAsia" w:ascii="仿宋" w:hAnsi="仿宋" w:eastAsia="仿宋" w:cs="仿宋"/>
          <w:b/>
          <w:bCs/>
          <w:kern w:val="2"/>
          <w:sz w:val="24"/>
          <w:szCs w:val="24"/>
          <w:lang w:val="en-US" w:eastAsia="zh-CN" w:bidi="ar-SA"/>
        </w:rPr>
      </w:pPr>
      <w:r>
        <w:rPr>
          <w:rFonts w:hint="eastAsia" w:ascii="仿宋" w:hAnsi="仿宋" w:eastAsia="仿宋" w:cs="仿宋"/>
          <w:b/>
          <w:bCs/>
          <w:kern w:val="2"/>
          <w:sz w:val="24"/>
          <w:szCs w:val="24"/>
          <w:lang w:val="en-US" w:eastAsia="zh-CN" w:bidi="ar-SA"/>
        </w:rPr>
        <w:t>五、费用管理</w:t>
      </w:r>
    </w:p>
    <w:p w14:paraId="15C3ACE3">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1、所有设备报价为一次性报价，后期不得变更；清单外设备报价须经我院信息科审核，后期不得调整。</w:t>
      </w:r>
    </w:p>
    <w:p w14:paraId="63787DBE">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2、若当年维保费用超出年度最高限价，超出部分可计入下一年度费用。</w:t>
      </w:r>
    </w:p>
    <w:p w14:paraId="659C6025">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3、维保过程中产生的经营风险由中标人承担，投标人应充分考虑设备及人工成本上涨等因素。</w:t>
      </w:r>
    </w:p>
    <w:p w14:paraId="58B87925">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4、每季度费用须以验收报告为准，不得包含其他未经确认的费用。付款须凭生效的验收报告及考核表，否则不予支付。</w:t>
      </w:r>
    </w:p>
    <w:p w14:paraId="47F03973">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5、人工费按配件一览表所列标准计费，安排频次应合理。如维保过程中出现消极怠工行为，不予计费，具体判断由采购人记录于验收意见中，不作解释。</w:t>
      </w:r>
    </w:p>
    <w:p w14:paraId="4EE1F057">
      <w:pPr>
        <w:widowControl w:val="0"/>
        <w:spacing w:line="520" w:lineRule="exact"/>
        <w:ind w:firstLine="480" w:firstLineChars="200"/>
        <w:jc w:val="both"/>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6、若问题未能解决或方案不被认可，我院不予支付任何费用。</w:t>
      </w:r>
    </w:p>
    <w:p w14:paraId="03B90D95">
      <w:pPr>
        <w:pStyle w:val="3"/>
        <w:rPr>
          <w:rFonts w:hint="eastAsia"/>
          <w:lang w:val="en-US" w:eastAsia="zh-CN"/>
        </w:rPr>
      </w:pPr>
    </w:p>
    <w:p w14:paraId="27BDFC6A">
      <w:pPr>
        <w:numPr>
          <w:ilvl w:val="0"/>
          <w:numId w:val="0"/>
        </w:numPr>
        <w:rPr>
          <w:rFonts w:hint="eastAsia" w:ascii="仿宋" w:hAnsi="仿宋" w:eastAsia="仿宋" w:cs="仿宋"/>
          <w:b w:val="0"/>
          <w:bCs w:val="0"/>
          <w:sz w:val="24"/>
          <w:szCs w:val="24"/>
        </w:rPr>
      </w:pPr>
    </w:p>
    <w:p w14:paraId="02FF1227">
      <w:pPr>
        <w:rPr>
          <w:rFonts w:hint="eastAsia" w:ascii="仿宋" w:hAnsi="仿宋" w:eastAsia="仿宋" w:cs="仿宋"/>
          <w:b/>
          <w:bCs w:val="0"/>
          <w:kern w:val="2"/>
          <w:sz w:val="24"/>
          <w:szCs w:val="24"/>
          <w:lang w:val="en-US" w:eastAsia="zh-CN" w:bidi="ar-SA"/>
        </w:rPr>
      </w:pPr>
    </w:p>
    <w:p w14:paraId="0001E5DE">
      <w:pPr>
        <w:jc w:val="center"/>
        <w:rPr>
          <w:rFonts w:hint="eastAsia" w:ascii="仿宋" w:hAnsi="仿宋" w:eastAsia="仿宋" w:cs="仿宋"/>
          <w:b/>
          <w:bCs w:val="0"/>
          <w:kern w:val="2"/>
          <w:sz w:val="24"/>
          <w:szCs w:val="24"/>
          <w:lang w:val="en-US" w:eastAsia="zh-CN" w:bidi="ar-SA"/>
        </w:rPr>
      </w:pPr>
      <w:r>
        <w:rPr>
          <w:rFonts w:hint="eastAsia" w:ascii="仿宋" w:hAnsi="仿宋" w:eastAsia="仿宋" w:cs="仿宋"/>
          <w:b/>
          <w:bCs w:val="0"/>
          <w:kern w:val="2"/>
          <w:sz w:val="24"/>
          <w:szCs w:val="24"/>
          <w:lang w:val="en-US" w:eastAsia="zh-CN" w:bidi="ar-SA"/>
        </w:rPr>
        <w:t>（三）商务要求</w:t>
      </w:r>
    </w:p>
    <w:bookmarkEnd w:id="0"/>
    <w:p w14:paraId="6CD1BB84">
      <w:pPr>
        <w:spacing w:line="520" w:lineRule="exact"/>
        <w:ind w:firstLine="480" w:firstLineChars="200"/>
        <w:outlineLvl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w:t>
      </w:r>
      <w:r>
        <w:rPr>
          <w:rFonts w:hint="eastAsia" w:ascii="仿宋" w:hAnsi="仿宋" w:eastAsia="仿宋" w:cs="仿宋"/>
          <w:kern w:val="2"/>
          <w:sz w:val="24"/>
          <w:szCs w:val="24"/>
          <w:lang w:val="zh-CN" w:eastAsia="zh-CN" w:bidi="ar-SA"/>
        </w:rPr>
        <w:t>服务时间（期限）：服务期3年，合同采用“1+1+1”模式。服务期限内由招标人对其服务质量进行考核（考核办法由招标人另定），经招标人考核合格后，可续签下年合同，考核不合格告知后即解除合同。</w:t>
      </w:r>
    </w:p>
    <w:p w14:paraId="4E390A43">
      <w:pPr>
        <w:spacing w:line="520" w:lineRule="exact"/>
        <w:ind w:firstLine="480" w:firstLineChars="200"/>
        <w:outlineLvl w:val="0"/>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2</w:t>
      </w:r>
      <w:r>
        <w:rPr>
          <w:rFonts w:hint="eastAsia" w:ascii="仿宋" w:hAnsi="仿宋" w:eastAsia="仿宋" w:cs="仿宋"/>
          <w:kern w:val="2"/>
          <w:sz w:val="24"/>
          <w:szCs w:val="24"/>
          <w:lang w:val="zh-CN" w:eastAsia="zh-CN" w:bidi="ar-SA"/>
        </w:rPr>
        <w:t>、</w:t>
      </w:r>
      <w:r>
        <w:rPr>
          <w:rFonts w:hint="eastAsia" w:ascii="仿宋" w:hAnsi="仿宋" w:eastAsia="仿宋" w:cs="仿宋"/>
          <w:kern w:val="2"/>
          <w:sz w:val="24"/>
          <w:szCs w:val="24"/>
          <w:lang w:val="en-US" w:eastAsia="zh-CN" w:bidi="ar-SA"/>
        </w:rPr>
        <w:t>进场时间：接招标人通知起5个工作日内完成新老服务公司的交接工作，保证相关服务工作正常有序进行。</w:t>
      </w:r>
    </w:p>
    <w:p w14:paraId="368E7C0E">
      <w:pPr>
        <w:spacing w:line="520" w:lineRule="exact"/>
        <w:ind w:firstLine="480" w:firstLineChars="200"/>
        <w:outlineLvl w:val="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3</w:t>
      </w:r>
      <w:r>
        <w:rPr>
          <w:rFonts w:hint="eastAsia" w:ascii="仿宋" w:hAnsi="仿宋" w:eastAsia="仿宋" w:cs="仿宋"/>
          <w:kern w:val="2"/>
          <w:sz w:val="24"/>
          <w:szCs w:val="24"/>
          <w:lang w:val="zh-CN" w:eastAsia="zh-CN" w:bidi="ar-SA"/>
        </w:rPr>
        <w:t>、服务地点：马鞍山市</w:t>
      </w:r>
      <w:r>
        <w:rPr>
          <w:rFonts w:hint="eastAsia" w:ascii="仿宋" w:hAnsi="仿宋" w:eastAsia="仿宋" w:cs="仿宋"/>
          <w:kern w:val="2"/>
          <w:sz w:val="24"/>
          <w:szCs w:val="24"/>
          <w:lang w:val="en-US" w:eastAsia="zh-CN" w:bidi="ar-SA"/>
        </w:rPr>
        <w:t>中医院</w:t>
      </w:r>
      <w:r>
        <w:rPr>
          <w:rFonts w:hint="eastAsia" w:ascii="仿宋" w:hAnsi="仿宋" w:eastAsia="仿宋" w:cs="仿宋"/>
          <w:kern w:val="2"/>
          <w:sz w:val="24"/>
          <w:szCs w:val="24"/>
          <w:lang w:val="zh-CN" w:eastAsia="zh-CN" w:bidi="ar-SA"/>
        </w:rPr>
        <w:t>（采购人指定地点）。</w:t>
      </w:r>
    </w:p>
    <w:p w14:paraId="338F77D9">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4、</w:t>
      </w:r>
      <w:r>
        <w:rPr>
          <w:rFonts w:hint="eastAsia" w:ascii="仿宋" w:hAnsi="仿宋" w:eastAsia="仿宋" w:cs="仿宋"/>
          <w:kern w:val="2"/>
          <w:sz w:val="24"/>
          <w:szCs w:val="24"/>
          <w:highlight w:val="yellow"/>
          <w:lang w:val="zh-CN" w:eastAsia="zh-CN" w:bidi="ar-SA"/>
        </w:rPr>
        <w:t>质保期限：所有配件和设备以其生产厂家实际提供的质保期限为准，如合同到期后在服务期内所提供配件和设备在其原生产厂家未过保的，成交供应商需继续提供维保服务。所有的维保服务由中标供应商统一进行提供。工程类维修服务维保期限一年。</w:t>
      </w:r>
    </w:p>
    <w:p w14:paraId="1256EEA6">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5、</w:t>
      </w:r>
      <w:r>
        <w:rPr>
          <w:rFonts w:hint="eastAsia" w:ascii="仿宋" w:hAnsi="仿宋" w:eastAsia="仿宋" w:cs="仿宋"/>
          <w:kern w:val="2"/>
          <w:sz w:val="24"/>
          <w:szCs w:val="24"/>
          <w:lang w:val="zh-CN" w:eastAsia="zh-CN" w:bidi="ar-SA"/>
        </w:rPr>
        <w:t>付款方式：合同款实行每季度结算，在投标人切实履行了全部合同义务后，中标供应商需按招标人要求的时间、格式提供账目明细及汇总清单，经招标人确认账目无异议后，中标供应商将正规发票原件交于招标人，经招标人审核同意后于30日内支付合同款。如中标供应商未能按要求提供清单导致汇款延期由中标供应商自行承担后果。</w:t>
      </w:r>
    </w:p>
    <w:p w14:paraId="302F8B68">
      <w:pPr>
        <w:pStyle w:val="2"/>
        <w:rPr>
          <w:rFonts w:hint="eastAsia" w:ascii="仿宋" w:hAnsi="仿宋" w:eastAsia="仿宋" w:cs="仿宋"/>
          <w:b/>
          <w:bCs/>
          <w:color w:val="FF0000"/>
          <w:kern w:val="2"/>
          <w:sz w:val="22"/>
          <w:szCs w:val="22"/>
          <w:highlight w:val="yellow"/>
          <w:lang w:val="zh-CN" w:eastAsia="zh-CN" w:bidi="ar-SA"/>
        </w:rPr>
      </w:pPr>
      <w:r>
        <w:rPr>
          <w:rFonts w:hint="eastAsia" w:ascii="仿宋" w:hAnsi="仿宋" w:eastAsia="仿宋" w:cs="仿宋"/>
          <w:b/>
          <w:bCs/>
          <w:color w:val="FF0000"/>
          <w:kern w:val="2"/>
          <w:sz w:val="22"/>
          <w:szCs w:val="22"/>
          <w:highlight w:val="yellow"/>
          <w:lang w:val="en-US" w:eastAsia="zh-CN" w:bidi="ar-SA"/>
        </w:rPr>
        <w:t xml:space="preserve">* </w:t>
      </w:r>
      <w:r>
        <w:rPr>
          <w:rFonts w:hint="eastAsia" w:ascii="仿宋" w:hAnsi="仿宋" w:eastAsia="仿宋" w:cs="仿宋"/>
          <w:b/>
          <w:bCs/>
          <w:color w:val="FF0000"/>
          <w:kern w:val="2"/>
          <w:sz w:val="22"/>
          <w:szCs w:val="22"/>
          <w:highlight w:val="yellow"/>
          <w:lang w:val="zh-CN" w:eastAsia="zh-CN" w:bidi="ar-SA"/>
        </w:rPr>
        <w:t>结算方式：费用结算标准=∑（各项实际发生数量×基准单价）×合同综合费率。</w:t>
      </w:r>
    </w:p>
    <w:p w14:paraId="3FF4C80A">
      <w:pPr>
        <w:numPr>
          <w:ilvl w:val="0"/>
          <w:numId w:val="0"/>
        </w:num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6、</w:t>
      </w:r>
      <w:r>
        <w:rPr>
          <w:rFonts w:hint="eastAsia" w:ascii="仿宋" w:hAnsi="仿宋" w:eastAsia="仿宋" w:cs="仿宋"/>
          <w:kern w:val="2"/>
          <w:sz w:val="24"/>
          <w:szCs w:val="24"/>
          <w:lang w:val="zh-CN" w:eastAsia="zh-CN" w:bidi="ar-SA"/>
        </w:rPr>
        <w:t>成交供应商在项目实施过程中，国家对相关项目有资质要求的，进场单位和人员的资质、资格符合国家、省、市有关规定。实施期间成交供应商所发生的或成交供应商实施场地内发生的或成交供应商原因造成的安全事故，均应由成交供应商负责按有关规定处理善后事宜，并承担给采购人造成的损失。</w:t>
      </w:r>
    </w:p>
    <w:p w14:paraId="75535460">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7</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投标文件中为本项目配备的人员力量，在合同履行期间，成交供应商须按采购人要求到达本项目现场提供相应服务，否则采购人有权解除采购合同。</w:t>
      </w:r>
    </w:p>
    <w:p w14:paraId="7C0D55A1">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8、成交供应商须设有运维服务电话，负责解答用户在使用中遇到的问题，及时提出解决问题的建议和操作方法。</w:t>
      </w:r>
    </w:p>
    <w:p w14:paraId="55A7E504">
      <w:pPr>
        <w:spacing w:line="52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9</w:t>
      </w:r>
      <w:r>
        <w:rPr>
          <w:rFonts w:hint="default" w:ascii="仿宋" w:hAnsi="仿宋" w:eastAsia="仿宋" w:cs="仿宋"/>
          <w:kern w:val="2"/>
          <w:sz w:val="24"/>
          <w:szCs w:val="24"/>
          <w:lang w:val="zh-CN" w:eastAsia="zh-CN" w:bidi="ar-SA"/>
        </w:rPr>
        <w:t>、</w:t>
      </w:r>
      <w:r>
        <w:rPr>
          <w:rFonts w:hint="eastAsia" w:ascii="仿宋" w:hAnsi="仿宋" w:eastAsia="仿宋" w:cs="仿宋"/>
          <w:kern w:val="2"/>
          <w:sz w:val="24"/>
          <w:szCs w:val="24"/>
          <w:lang w:val="zh-CN" w:eastAsia="zh-CN" w:bidi="ar-SA"/>
        </w:rPr>
        <w:t>服务响应时间：成交供应商需设有专门的服务队伍，建立完备的响应机制。如出现服务问题，电话响应无法解决，中标供应商必须在接到电话2小时内到达现场，4小时内解决问题。</w:t>
      </w:r>
    </w:p>
    <w:p w14:paraId="079F1114">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、验收：</w:t>
      </w:r>
    </w:p>
    <w:p w14:paraId="2C3DF11A">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1采购人和相关部门按照招标文件和招标响应文件进行验收。招标文件没有规定和招标响应文件没有相应承诺的，按照下列原则进行验收：有国家标准的按照国家标准验收，没有国家标准的按行业标准验收，无行业标准的按地方或企业标准验收，成交投标人予以配合。涉及需要由其他相关行业主管部门验收的项目，采购人须约请相关部门和专家参加项目验收。</w:t>
      </w:r>
    </w:p>
    <w:p w14:paraId="5352C34D">
      <w:pPr>
        <w:spacing w:line="460" w:lineRule="exact"/>
        <w:ind w:firstLine="480" w:firstLineChars="200"/>
        <w:rPr>
          <w:rFonts w:hint="default"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10</w:t>
      </w:r>
      <w:r>
        <w:rPr>
          <w:rFonts w:hint="default" w:ascii="仿宋" w:hAnsi="仿宋" w:eastAsia="仿宋" w:cs="仿宋"/>
          <w:kern w:val="2"/>
          <w:sz w:val="24"/>
          <w:szCs w:val="24"/>
          <w:lang w:val="zh-CN" w:eastAsia="zh-CN" w:bidi="ar-SA"/>
        </w:rPr>
        <w:t>.2采购人及相关行业主管部门对项目进行全面的验收，对验收中暴露出来的问题，成交投标人应及时进行整改，整改后仍达不到验收标准的，采购人有权取消成交投标人资格。</w:t>
      </w:r>
    </w:p>
    <w:p w14:paraId="188079A6">
      <w:pPr>
        <w:spacing w:line="460" w:lineRule="exact"/>
        <w:ind w:firstLine="480" w:firstLineChars="200"/>
        <w:rPr>
          <w:rFonts w:hint="eastAsia" w:ascii="仿宋" w:hAnsi="仿宋" w:eastAsia="仿宋" w:cs="仿宋"/>
          <w:kern w:val="2"/>
          <w:sz w:val="24"/>
          <w:szCs w:val="24"/>
          <w:lang w:val="zh-CN" w:eastAsia="zh-CN" w:bidi="ar-SA"/>
        </w:rPr>
      </w:pPr>
      <w:r>
        <w:rPr>
          <w:rFonts w:hint="eastAsia" w:ascii="仿宋" w:hAnsi="仿宋" w:eastAsia="仿宋" w:cs="仿宋"/>
          <w:kern w:val="2"/>
          <w:sz w:val="24"/>
          <w:szCs w:val="24"/>
          <w:lang w:val="en-US" w:eastAsia="zh-CN" w:bidi="ar-SA"/>
        </w:rPr>
        <w:t>11、</w:t>
      </w:r>
      <w:r>
        <w:rPr>
          <w:rFonts w:hint="eastAsia" w:ascii="仿宋" w:hAnsi="仿宋" w:eastAsia="仿宋" w:cs="仿宋"/>
          <w:kern w:val="2"/>
          <w:sz w:val="24"/>
          <w:szCs w:val="24"/>
          <w:lang w:val="zh-CN" w:eastAsia="zh-CN" w:bidi="ar-SA"/>
        </w:rPr>
        <w:t>本项目总投标价包含了交付使用前的全部费用及所有价内价外税金及合理利润等，</w:t>
      </w:r>
      <w:r>
        <w:rPr>
          <w:rFonts w:hint="eastAsia" w:ascii="仿宋" w:hAnsi="仿宋" w:eastAsia="仿宋" w:cs="仿宋"/>
          <w:kern w:val="2"/>
          <w:sz w:val="24"/>
          <w:szCs w:val="24"/>
          <w:lang w:val="en-US" w:eastAsia="zh-CN" w:bidi="ar-SA"/>
        </w:rPr>
        <w:t>不再产生任何二次费用。</w:t>
      </w:r>
    </w:p>
    <w:p w14:paraId="351971EF">
      <w:pPr>
        <w:spacing w:line="460" w:lineRule="exact"/>
        <w:ind w:firstLine="600"/>
        <w:rPr>
          <w:rFonts w:hint="eastAsia" w:ascii="宋体" w:hAnsi="宋体" w:eastAsia="宋体" w:cs="宋体"/>
          <w:sz w:val="24"/>
          <w:lang w:val="en-US" w:eastAsia="zh-CN"/>
        </w:rPr>
      </w:pPr>
    </w:p>
    <w:p w14:paraId="5F7894B8">
      <w:pPr>
        <w:pStyle w:val="2"/>
        <w:rPr>
          <w:rFonts w:hint="eastAsia" w:ascii="宋体" w:hAnsi="宋体" w:eastAsia="宋体" w:cs="宋体"/>
          <w:sz w:val="24"/>
          <w:lang w:val="en-US" w:eastAsia="zh-CN"/>
        </w:rPr>
      </w:pPr>
    </w:p>
    <w:p w14:paraId="35388CAE">
      <w:pPr>
        <w:pStyle w:val="3"/>
        <w:rPr>
          <w:rFonts w:hint="eastAsia" w:ascii="宋体" w:hAnsi="宋体" w:eastAsia="宋体" w:cs="宋体"/>
          <w:sz w:val="24"/>
          <w:lang w:val="en-US" w:eastAsia="zh-CN"/>
        </w:rPr>
      </w:pPr>
    </w:p>
    <w:p w14:paraId="1A9BC294">
      <w:pPr>
        <w:pStyle w:val="3"/>
        <w:rPr>
          <w:rFonts w:hint="eastAsia" w:ascii="宋体" w:hAnsi="宋体"/>
          <w:b/>
          <w:bCs/>
          <w:sz w:val="24"/>
          <w:lang w:val="en-US" w:eastAsia="zh-CN"/>
        </w:rPr>
      </w:pPr>
      <w:r>
        <w:rPr>
          <w:rFonts w:hint="eastAsia" w:ascii="宋体" w:hAnsi="宋体"/>
          <w:b/>
          <w:bCs/>
          <w:sz w:val="24"/>
          <w:lang w:val="en-US" w:eastAsia="zh-CN"/>
        </w:rPr>
        <w:t>附件1：</w:t>
      </w:r>
    </w:p>
    <w:p w14:paraId="795FA90B">
      <w:pPr>
        <w:jc w:val="center"/>
        <w:rPr>
          <w:rFonts w:hint="eastAsia" w:ascii="Times New Roman" w:hAnsi="Times New Roman" w:eastAsia="宋体" w:cs="Times New Roman"/>
          <w:b/>
          <w:bCs/>
          <w:sz w:val="36"/>
          <w:szCs w:val="44"/>
          <w:lang w:val="en-US" w:eastAsia="zh-CN"/>
        </w:rPr>
      </w:pPr>
      <w:r>
        <w:rPr>
          <w:rFonts w:hint="eastAsia" w:ascii="Times New Roman" w:hAnsi="Times New Roman" w:eastAsia="宋体" w:cs="Times New Roman"/>
          <w:b/>
          <w:bCs/>
          <w:sz w:val="36"/>
          <w:szCs w:val="44"/>
          <w:lang w:val="en-US" w:eastAsia="zh-CN"/>
        </w:rPr>
        <w:t>货物一览表</w:t>
      </w:r>
    </w:p>
    <w:tbl>
      <w:tblPr>
        <w:tblStyle w:val="17"/>
        <w:tblW w:w="930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080"/>
        <w:gridCol w:w="2041"/>
        <w:gridCol w:w="3231"/>
        <w:gridCol w:w="1080"/>
        <w:gridCol w:w="794"/>
        <w:gridCol w:w="1080"/>
      </w:tblGrid>
      <w:tr w14:paraId="2EA717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blHeader/>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0ECE4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041" w:type="dxa"/>
            <w:tcBorders>
              <w:top w:val="single" w:color="000000" w:sz="4" w:space="0"/>
              <w:left w:val="nil"/>
              <w:bottom w:val="single" w:color="000000" w:sz="4" w:space="0"/>
              <w:right w:val="single" w:color="000000" w:sz="4" w:space="0"/>
            </w:tcBorders>
            <w:noWrap/>
            <w:vAlign w:val="center"/>
          </w:tcPr>
          <w:p w14:paraId="6BA49B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设备名称</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317C9DF">
            <w:pPr>
              <w:keepNext w:val="0"/>
              <w:keepLines w:val="0"/>
              <w:widowControl/>
              <w:suppressLineNumbers w:val="0"/>
              <w:jc w:val="center"/>
              <w:textAlignment w:val="center"/>
              <w:rPr>
                <w:rFonts w:ascii="Arial" w:hAnsi="Arial" w:eastAsia="宋体" w:cs="Arial"/>
                <w:i w:val="0"/>
                <w:iCs w:val="0"/>
                <w:color w:val="000000"/>
                <w:sz w:val="22"/>
                <w:szCs w:val="22"/>
                <w:u w:val="none"/>
              </w:rPr>
            </w:pPr>
            <w:r>
              <w:rPr>
                <w:rFonts w:hint="default" w:ascii="Arial" w:hAnsi="Arial" w:eastAsia="宋体" w:cs="Arial"/>
                <w:i w:val="0"/>
                <w:iCs w:val="0"/>
                <w:color w:val="000000"/>
                <w:kern w:val="0"/>
                <w:sz w:val="22"/>
                <w:szCs w:val="22"/>
                <w:u w:val="none"/>
                <w:lang w:val="en-US" w:eastAsia="zh-CN" w:bidi="ar"/>
              </w:rPr>
              <w:t xml:space="preserve"> </w:t>
            </w:r>
            <w:r>
              <w:rPr>
                <w:rStyle w:val="44"/>
                <w:lang w:val="en-US" w:eastAsia="zh-CN" w:bidi="ar"/>
              </w:rPr>
              <w:t>参数</w:t>
            </w:r>
            <w:r>
              <w:rPr>
                <w:rFonts w:hint="default" w:ascii="Arial" w:hAnsi="Arial" w:eastAsia="宋体" w:cs="Arial"/>
                <w:i w:val="0"/>
                <w:iCs w:val="0"/>
                <w:color w:val="000000"/>
                <w:kern w:val="0"/>
                <w:sz w:val="22"/>
                <w:szCs w:val="22"/>
                <w:u w:val="none"/>
                <w:lang w:val="en-US" w:eastAsia="zh-CN" w:bidi="ar"/>
              </w:rPr>
              <w:t xml:space="preserve"> </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58884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单位</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A9346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数量</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A3A8AB7">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基准价（单位：元）</w:t>
            </w:r>
          </w:p>
        </w:tc>
      </w:tr>
      <w:tr w14:paraId="54B744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EA39EB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2041" w:type="dxa"/>
            <w:tcBorders>
              <w:top w:val="single" w:color="000000" w:sz="4" w:space="0"/>
              <w:left w:val="nil"/>
              <w:bottom w:val="single" w:color="000000" w:sz="4" w:space="0"/>
              <w:right w:val="single" w:color="000000" w:sz="4" w:space="0"/>
            </w:tcBorders>
            <w:noWrap/>
            <w:vAlign w:val="center"/>
          </w:tcPr>
          <w:p w14:paraId="224C90A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400W红外枪式POE摄像机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07C96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400万双光摄像机，支持onvif协议，SDK协议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85790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370B7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45E8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260</w:t>
            </w:r>
          </w:p>
        </w:tc>
      </w:tr>
      <w:tr w14:paraId="6153A3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17190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2041" w:type="dxa"/>
            <w:tcBorders>
              <w:top w:val="single" w:color="000000" w:sz="4" w:space="0"/>
              <w:left w:val="nil"/>
              <w:bottom w:val="single" w:color="000000" w:sz="4" w:space="0"/>
              <w:right w:val="single" w:color="000000" w:sz="4" w:space="0"/>
            </w:tcBorders>
            <w:noWrap/>
            <w:vAlign w:val="center"/>
          </w:tcPr>
          <w:p w14:paraId="58321E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400W红外半球POE摄像机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90DB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400万1/2.7”CMOS半球网络摄像机，最远红外50米，支持onvif协议，SDK协议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9B774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B5BB2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393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20CBC8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B913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2041" w:type="dxa"/>
            <w:tcBorders>
              <w:top w:val="single" w:color="000000" w:sz="4" w:space="0"/>
              <w:left w:val="nil"/>
              <w:bottom w:val="single" w:color="000000" w:sz="4" w:space="0"/>
              <w:right w:val="single" w:color="000000" w:sz="4" w:space="0"/>
            </w:tcBorders>
            <w:noWrap/>
            <w:vAlign w:val="center"/>
          </w:tcPr>
          <w:p w14:paraId="363A8F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电梯专用摄像机400万POE</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8F64D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400万1/2.7”CMOS半球网络摄像机，最远红外50米，支持onvif协议，SDK协议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6D348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CB1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604F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350</w:t>
            </w:r>
          </w:p>
        </w:tc>
      </w:tr>
      <w:tr w14:paraId="11AF9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19E37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2041" w:type="dxa"/>
            <w:tcBorders>
              <w:top w:val="single" w:color="000000" w:sz="4" w:space="0"/>
              <w:left w:val="nil"/>
              <w:bottom w:val="single" w:color="000000" w:sz="4" w:space="0"/>
              <w:right w:val="single" w:color="000000" w:sz="4" w:space="0"/>
            </w:tcBorders>
            <w:noWrap/>
            <w:vAlign w:val="center"/>
          </w:tcPr>
          <w:p w14:paraId="79BDB6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400W POE+球机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F22CD5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7寸400万室外云台摄像机，Smart265智能压缩编码，30倍光学变焦，16倍数字变焦，支持onvif协议，SDK协议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F9C8E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E8171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5E4FB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2500</w:t>
            </w:r>
          </w:p>
        </w:tc>
      </w:tr>
      <w:tr w14:paraId="543E759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2CBD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2041" w:type="dxa"/>
            <w:tcBorders>
              <w:top w:val="single" w:color="000000" w:sz="4" w:space="0"/>
              <w:left w:val="nil"/>
              <w:bottom w:val="single" w:color="000000" w:sz="4" w:space="0"/>
              <w:right w:val="single" w:color="000000" w:sz="4" w:space="0"/>
            </w:tcBorders>
            <w:noWrap/>
            <w:vAlign w:val="center"/>
          </w:tcPr>
          <w:p w14:paraId="220B3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摄像机专用支架</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81412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不锈钢监控支架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D55CA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AFD7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E614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73BAF2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9BEB4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2041" w:type="dxa"/>
            <w:tcBorders>
              <w:top w:val="single" w:color="000000" w:sz="4" w:space="0"/>
              <w:left w:val="nil"/>
              <w:bottom w:val="single" w:color="000000" w:sz="4" w:space="0"/>
              <w:right w:val="single" w:color="000000" w:sz="4" w:space="0"/>
            </w:tcBorders>
            <w:noWrap/>
            <w:vAlign w:val="center"/>
          </w:tcPr>
          <w:p w14:paraId="5E8C1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球机专用支架</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130940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铝合金球机支架</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32CA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0F7737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DA6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r>
      <w:tr w14:paraId="220C12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21AC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2041" w:type="dxa"/>
            <w:tcBorders>
              <w:top w:val="single" w:color="000000" w:sz="4" w:space="0"/>
              <w:left w:val="nil"/>
              <w:bottom w:val="single" w:color="000000" w:sz="4" w:space="0"/>
              <w:right w:val="single" w:color="000000" w:sz="4" w:space="0"/>
            </w:tcBorders>
            <w:noWrap/>
            <w:vAlign w:val="center"/>
          </w:tcPr>
          <w:p w14:paraId="07FECB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网桥</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51E07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5.8ghz 网桥，传输距离 1Km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AA42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193A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3D0F1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w:t>
            </w:r>
          </w:p>
        </w:tc>
      </w:tr>
      <w:tr w14:paraId="73C7BE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6BCC0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2041" w:type="dxa"/>
            <w:tcBorders>
              <w:top w:val="single" w:color="000000" w:sz="4" w:space="0"/>
              <w:left w:val="nil"/>
              <w:bottom w:val="single" w:color="000000" w:sz="4" w:space="0"/>
              <w:right w:val="single" w:color="000000" w:sz="4" w:space="0"/>
            </w:tcBorders>
            <w:noWrap/>
            <w:vAlign w:val="center"/>
          </w:tcPr>
          <w:p w14:paraId="25B35A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5口千兆POE交换机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7DB43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普通5口千兆POE交换机，1个1G SFP光口</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B300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EA1E1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C3A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2B97B2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CCAB2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2041" w:type="dxa"/>
            <w:tcBorders>
              <w:top w:val="single" w:color="000000" w:sz="4" w:space="0"/>
              <w:left w:val="nil"/>
              <w:bottom w:val="single" w:color="000000" w:sz="4" w:space="0"/>
              <w:right w:val="single" w:color="000000" w:sz="4" w:space="0"/>
            </w:tcBorders>
            <w:noWrap/>
            <w:vAlign w:val="center"/>
          </w:tcPr>
          <w:p w14:paraId="208DBD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8口千兆POE交换机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9893C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 8口千兆POE交换机，1个1G SFP光口</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655E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E5C3A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D6B9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250</w:t>
            </w:r>
          </w:p>
        </w:tc>
      </w:tr>
      <w:tr w14:paraId="7CD0E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9AA8A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2041" w:type="dxa"/>
            <w:tcBorders>
              <w:top w:val="single" w:color="000000" w:sz="4" w:space="0"/>
              <w:left w:val="nil"/>
              <w:bottom w:val="single" w:color="000000" w:sz="4" w:space="0"/>
              <w:right w:val="single" w:color="000000" w:sz="4" w:space="0"/>
            </w:tcBorders>
            <w:noWrap/>
            <w:vAlign w:val="center"/>
          </w:tcPr>
          <w:p w14:paraId="091A6B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24口千兆POE交换机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DE9615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三层交换机，</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口</w:t>
            </w:r>
            <w:r>
              <w:rPr>
                <w:rFonts w:hint="default" w:ascii="Times New Roman" w:hAnsi="Times New Roman" w:eastAsia="宋体" w:cs="Times New Roman"/>
                <w:i w:val="0"/>
                <w:iCs w:val="0"/>
                <w:color w:val="000000"/>
                <w:kern w:val="0"/>
                <w:sz w:val="21"/>
                <w:szCs w:val="21"/>
                <w:u w:val="none"/>
                <w:lang w:val="en-US" w:eastAsia="zh-CN" w:bidi="ar"/>
              </w:rPr>
              <w:t>10/100/1000M</w:t>
            </w:r>
            <w:r>
              <w:rPr>
                <w:rFonts w:hint="eastAsia" w:ascii="宋体" w:hAnsi="宋体" w:eastAsia="宋体" w:cs="宋体"/>
                <w:i w:val="0"/>
                <w:iCs w:val="0"/>
                <w:color w:val="000000"/>
                <w:kern w:val="0"/>
                <w:sz w:val="21"/>
                <w:szCs w:val="21"/>
                <w:u w:val="none"/>
                <w:lang w:val="en-US" w:eastAsia="zh-CN" w:bidi="ar"/>
              </w:rPr>
              <w:t>自适应电口，</w:t>
            </w:r>
            <w:r>
              <w:rPr>
                <w:rFonts w:hint="default" w:ascii="Times New Roman" w:hAnsi="Times New Roman" w:eastAsia="宋体" w:cs="Times New Roman"/>
                <w:i w:val="0"/>
                <w:iCs w:val="0"/>
                <w:color w:val="000000"/>
                <w:kern w:val="0"/>
                <w:sz w:val="21"/>
                <w:szCs w:val="21"/>
                <w:u w:val="none"/>
                <w:lang w:val="en-US" w:eastAsia="zh-CN" w:bidi="ar"/>
              </w:rPr>
              <w:t>4</w:t>
            </w:r>
            <w:r>
              <w:rPr>
                <w:rFonts w:hint="eastAsia" w:ascii="宋体" w:hAnsi="宋体" w:eastAsia="宋体" w:cs="宋体"/>
                <w:i w:val="0"/>
                <w:iCs w:val="0"/>
                <w:color w:val="000000"/>
                <w:kern w:val="0"/>
                <w:sz w:val="21"/>
                <w:szCs w:val="21"/>
                <w:u w:val="none"/>
                <w:lang w:val="en-US" w:eastAsia="zh-CN" w:bidi="ar"/>
              </w:rPr>
              <w:t>个</w:t>
            </w:r>
            <w:r>
              <w:rPr>
                <w:rFonts w:hint="default" w:ascii="Times New Roman" w:hAnsi="Times New Roman" w:eastAsia="宋体" w:cs="Times New Roman"/>
                <w:i w:val="0"/>
                <w:iCs w:val="0"/>
                <w:color w:val="000000"/>
                <w:kern w:val="0"/>
                <w:sz w:val="21"/>
                <w:szCs w:val="21"/>
                <w:u w:val="none"/>
                <w:lang w:val="en-US" w:eastAsia="zh-CN" w:bidi="ar"/>
              </w:rPr>
              <w:t>1G SFP</w:t>
            </w:r>
            <w:r>
              <w:rPr>
                <w:rFonts w:hint="eastAsia" w:ascii="宋体" w:hAnsi="宋体" w:eastAsia="宋体" w:cs="宋体"/>
                <w:i w:val="0"/>
                <w:iCs w:val="0"/>
                <w:color w:val="000000"/>
                <w:kern w:val="0"/>
                <w:sz w:val="21"/>
                <w:szCs w:val="21"/>
                <w:u w:val="none"/>
                <w:lang w:val="en-US" w:eastAsia="zh-CN" w:bidi="ar"/>
              </w:rPr>
              <w:t>光口，固化单交流电源，交换容量</w:t>
            </w:r>
            <w:r>
              <w:rPr>
                <w:rFonts w:hint="default" w:ascii="Times New Roman" w:hAnsi="Times New Roman" w:eastAsia="宋体" w:cs="Times New Roman"/>
                <w:i w:val="0"/>
                <w:iCs w:val="0"/>
                <w:color w:val="000000"/>
                <w:kern w:val="0"/>
                <w:sz w:val="21"/>
                <w:szCs w:val="21"/>
                <w:u w:val="none"/>
                <w:lang w:val="en-US" w:eastAsia="zh-CN" w:bidi="ar"/>
              </w:rPr>
              <w:t>336Gbps</w:t>
            </w:r>
            <w:r>
              <w:rPr>
                <w:rFonts w:hint="eastAsia" w:ascii="宋体" w:hAnsi="宋体" w:eastAsia="宋体" w:cs="宋体"/>
                <w:i w:val="0"/>
                <w:iCs w:val="0"/>
                <w:color w:val="000000"/>
                <w:kern w:val="0"/>
                <w:sz w:val="21"/>
                <w:szCs w:val="21"/>
                <w:u w:val="none"/>
                <w:lang w:val="en-US" w:eastAsia="zh-CN" w:bidi="ar"/>
              </w:rPr>
              <w:t>，包转发率</w:t>
            </w:r>
            <w:r>
              <w:rPr>
                <w:rFonts w:hint="default" w:ascii="Times New Roman" w:hAnsi="Times New Roman" w:eastAsia="宋体" w:cs="Times New Roman"/>
                <w:i w:val="0"/>
                <w:iCs w:val="0"/>
                <w:color w:val="000000"/>
                <w:kern w:val="0"/>
                <w:sz w:val="21"/>
                <w:szCs w:val="21"/>
                <w:u w:val="none"/>
                <w:lang w:val="en-US" w:eastAsia="zh-CN" w:bidi="ar"/>
              </w:rPr>
              <w:t>126Mpps</w:t>
            </w:r>
            <w:r>
              <w:rPr>
                <w:rFonts w:hint="eastAsia" w:ascii="宋体" w:hAnsi="宋体" w:eastAsia="宋体" w:cs="宋体"/>
                <w:i w:val="0"/>
                <w:iCs w:val="0"/>
                <w:color w:val="000000"/>
                <w:kern w:val="0"/>
                <w:sz w:val="21"/>
                <w:szCs w:val="21"/>
                <w:u w:val="none"/>
                <w:lang w:val="en-US" w:eastAsia="zh-CN" w:bidi="ar"/>
              </w:rPr>
              <w:t>，</w:t>
            </w:r>
            <w:r>
              <w:rPr>
                <w:rFonts w:hint="default" w:ascii="Times New Roman" w:hAnsi="Times New Roman" w:eastAsia="宋体" w:cs="Times New Roman"/>
                <w:i w:val="0"/>
                <w:iCs w:val="0"/>
                <w:color w:val="000000"/>
                <w:kern w:val="0"/>
                <w:sz w:val="21"/>
                <w:szCs w:val="21"/>
                <w:u w:val="none"/>
                <w:lang w:val="en-US" w:eastAsia="zh-CN" w:bidi="ar"/>
              </w:rPr>
              <w:t>10KV</w:t>
            </w:r>
            <w:r>
              <w:rPr>
                <w:rFonts w:hint="eastAsia" w:ascii="宋体" w:hAnsi="宋体" w:eastAsia="宋体" w:cs="宋体"/>
                <w:i w:val="0"/>
                <w:iCs w:val="0"/>
                <w:color w:val="000000"/>
                <w:kern w:val="0"/>
                <w:sz w:val="21"/>
                <w:szCs w:val="21"/>
                <w:u w:val="none"/>
                <w:lang w:val="en-US" w:eastAsia="zh-CN" w:bidi="ar"/>
              </w:rPr>
              <w:t>防雷</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67DEE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A97BC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D1190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627F3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2CDE7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2041" w:type="dxa"/>
            <w:tcBorders>
              <w:top w:val="single" w:color="000000" w:sz="4" w:space="0"/>
              <w:left w:val="nil"/>
              <w:bottom w:val="single" w:color="000000" w:sz="4" w:space="0"/>
              <w:right w:val="single" w:color="000000" w:sz="4" w:space="0"/>
            </w:tcBorders>
            <w:noWrap/>
            <w:vAlign w:val="center"/>
          </w:tcPr>
          <w:p w14:paraId="0A405D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24口POE千兆POE交换机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97A9F01">
            <w:pPr>
              <w:keepNext w:val="0"/>
              <w:keepLines w:val="0"/>
              <w:widowControl/>
              <w:suppressLineNumbers w:val="0"/>
              <w:jc w:val="center"/>
              <w:textAlignment w:val="center"/>
              <w:rPr>
                <w:rFonts w:hint="default" w:ascii="Times New Roman" w:hAnsi="Times New Roman" w:eastAsia="宋体" w:cs="Times New Roman"/>
                <w:i w:val="0"/>
                <w:iCs w:val="0"/>
                <w:color w:val="000000"/>
                <w:sz w:val="21"/>
                <w:szCs w:val="21"/>
                <w:u w:val="none"/>
              </w:rPr>
            </w:pP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口千兆电口</w:t>
            </w:r>
            <w:r>
              <w:rPr>
                <w:rFonts w:hint="default" w:ascii="Times New Roman" w:hAnsi="Times New Roman" w:eastAsia="宋体" w:cs="Times New Roman"/>
                <w:i w:val="0"/>
                <w:iCs w:val="0"/>
                <w:color w:val="000000"/>
                <w:kern w:val="0"/>
                <w:sz w:val="21"/>
                <w:szCs w:val="21"/>
                <w:u w:val="none"/>
                <w:lang w:val="en-US" w:eastAsia="zh-CN" w:bidi="ar"/>
              </w:rPr>
              <w:t>+2</w:t>
            </w:r>
            <w:r>
              <w:rPr>
                <w:rFonts w:hint="eastAsia" w:ascii="宋体" w:hAnsi="宋体" w:eastAsia="宋体" w:cs="宋体"/>
                <w:i w:val="0"/>
                <w:iCs w:val="0"/>
                <w:color w:val="000000"/>
                <w:kern w:val="0"/>
                <w:sz w:val="21"/>
                <w:szCs w:val="21"/>
                <w:u w:val="none"/>
                <w:lang w:val="en-US" w:eastAsia="zh-CN" w:bidi="ar"/>
              </w:rPr>
              <w:t>个千兆光口，</w:t>
            </w:r>
            <w:r>
              <w:rPr>
                <w:rFonts w:hint="default" w:ascii="Times New Roman" w:hAnsi="Times New Roman" w:eastAsia="宋体" w:cs="Times New Roman"/>
                <w:i w:val="0"/>
                <w:iCs w:val="0"/>
                <w:color w:val="000000"/>
                <w:kern w:val="0"/>
                <w:sz w:val="21"/>
                <w:szCs w:val="21"/>
                <w:u w:val="none"/>
                <w:lang w:val="en-US" w:eastAsia="zh-CN" w:bidi="ar"/>
              </w:rPr>
              <w:t>24</w:t>
            </w:r>
            <w:r>
              <w:rPr>
                <w:rFonts w:hint="eastAsia" w:ascii="宋体" w:hAnsi="宋体" w:eastAsia="宋体" w:cs="宋体"/>
                <w:i w:val="0"/>
                <w:iCs w:val="0"/>
                <w:color w:val="000000"/>
                <w:kern w:val="0"/>
                <w:sz w:val="21"/>
                <w:szCs w:val="21"/>
                <w:u w:val="none"/>
                <w:lang w:val="en-US" w:eastAsia="zh-CN" w:bidi="ar"/>
              </w:rPr>
              <w:t>个千兆电口支持</w:t>
            </w:r>
            <w:r>
              <w:rPr>
                <w:rFonts w:hint="default" w:ascii="Times New Roman" w:hAnsi="Times New Roman" w:eastAsia="宋体" w:cs="Times New Roman"/>
                <w:i w:val="0"/>
                <w:iCs w:val="0"/>
                <w:color w:val="000000"/>
                <w:kern w:val="0"/>
                <w:sz w:val="21"/>
                <w:szCs w:val="21"/>
                <w:u w:val="none"/>
                <w:lang w:val="en-US" w:eastAsia="zh-CN" w:bidi="ar"/>
              </w:rPr>
              <w:t>POE/POE+</w:t>
            </w:r>
            <w:r>
              <w:rPr>
                <w:rFonts w:hint="eastAsia" w:ascii="宋体" w:hAnsi="宋体" w:eastAsia="宋体" w:cs="宋体"/>
                <w:i w:val="0"/>
                <w:iCs w:val="0"/>
                <w:color w:val="000000"/>
                <w:kern w:val="0"/>
                <w:sz w:val="21"/>
                <w:szCs w:val="21"/>
                <w:u w:val="none"/>
                <w:lang w:val="en-US" w:eastAsia="zh-CN" w:bidi="ar"/>
              </w:rPr>
              <w:t>供电，整机最大</w:t>
            </w:r>
            <w:r>
              <w:rPr>
                <w:rFonts w:hint="default" w:ascii="Times New Roman" w:hAnsi="Times New Roman" w:eastAsia="宋体" w:cs="Times New Roman"/>
                <w:i w:val="0"/>
                <w:iCs w:val="0"/>
                <w:color w:val="000000"/>
                <w:kern w:val="0"/>
                <w:sz w:val="21"/>
                <w:szCs w:val="21"/>
                <w:u w:val="none"/>
                <w:lang w:val="en-US" w:eastAsia="zh-CN" w:bidi="ar"/>
              </w:rPr>
              <w:t>POE</w:t>
            </w:r>
            <w:r>
              <w:rPr>
                <w:rFonts w:hint="eastAsia" w:ascii="宋体" w:hAnsi="宋体" w:eastAsia="宋体" w:cs="宋体"/>
                <w:i w:val="0"/>
                <w:iCs w:val="0"/>
                <w:color w:val="000000"/>
                <w:kern w:val="0"/>
                <w:sz w:val="21"/>
                <w:szCs w:val="21"/>
                <w:u w:val="none"/>
                <w:lang w:val="en-US" w:eastAsia="zh-CN" w:bidi="ar"/>
              </w:rPr>
              <w:t>功率</w:t>
            </w:r>
            <w:r>
              <w:rPr>
                <w:rFonts w:hint="default" w:ascii="Times New Roman" w:hAnsi="Times New Roman" w:eastAsia="宋体" w:cs="Times New Roman"/>
                <w:i w:val="0"/>
                <w:iCs w:val="0"/>
                <w:color w:val="000000"/>
                <w:kern w:val="0"/>
                <w:sz w:val="21"/>
                <w:szCs w:val="21"/>
                <w:u w:val="none"/>
                <w:lang w:val="en-US" w:eastAsia="zh-CN" w:bidi="ar"/>
              </w:rPr>
              <w:t>370W</w:t>
            </w:r>
            <w:r>
              <w:rPr>
                <w:rFonts w:hint="eastAsia" w:ascii="宋体" w:hAnsi="宋体" w:eastAsia="宋体" w:cs="宋体"/>
                <w:i w:val="0"/>
                <w:iCs w:val="0"/>
                <w:color w:val="000000"/>
                <w:kern w:val="0"/>
                <w:sz w:val="21"/>
                <w:szCs w:val="21"/>
                <w:u w:val="none"/>
                <w:lang w:val="en-US" w:eastAsia="zh-CN" w:bidi="ar"/>
              </w:rPr>
              <w:t>，非网管型</w:t>
            </w:r>
            <w:r>
              <w:rPr>
                <w:rFonts w:hint="default" w:ascii="Times New Roman" w:hAnsi="Times New Roman" w:eastAsia="宋体" w:cs="Times New Roman"/>
                <w:i w:val="0"/>
                <w:iCs w:val="0"/>
                <w:color w:val="000000"/>
                <w:kern w:val="0"/>
                <w:sz w:val="21"/>
                <w:szCs w:val="21"/>
                <w:u w:val="none"/>
                <w:lang w:val="en-US" w:eastAsia="zh-CN" w:bidi="ar"/>
              </w:rPr>
              <w:t>POE</w:t>
            </w:r>
            <w:r>
              <w:rPr>
                <w:rFonts w:hint="eastAsia" w:ascii="宋体" w:hAnsi="宋体" w:eastAsia="宋体" w:cs="宋体"/>
                <w:i w:val="0"/>
                <w:iCs w:val="0"/>
                <w:color w:val="000000"/>
                <w:kern w:val="0"/>
                <w:sz w:val="21"/>
                <w:szCs w:val="21"/>
                <w:u w:val="none"/>
                <w:lang w:val="en-US" w:eastAsia="zh-CN" w:bidi="ar"/>
              </w:rPr>
              <w:t>交换机</w:t>
            </w:r>
            <w:r>
              <w:rPr>
                <w:rFonts w:hint="default" w:ascii="Times New Roman" w:hAnsi="Times New Roman" w:eastAsia="宋体" w:cs="Times New Roman"/>
                <w:i w:val="0"/>
                <w:iCs w:val="0"/>
                <w:color w:val="000000"/>
                <w:kern w:val="0"/>
                <w:sz w:val="21"/>
                <w:szCs w:val="21"/>
                <w:u w:val="none"/>
                <w:lang w:val="en-US" w:eastAsia="zh-CN" w:bidi="ar"/>
              </w:rPr>
              <w:t>,</w:t>
            </w:r>
            <w:r>
              <w:rPr>
                <w:rFonts w:hint="eastAsia" w:ascii="宋体" w:hAnsi="宋体" w:eastAsia="宋体" w:cs="宋体"/>
                <w:i w:val="0"/>
                <w:iCs w:val="0"/>
                <w:color w:val="000000"/>
                <w:kern w:val="0"/>
                <w:sz w:val="21"/>
                <w:szCs w:val="21"/>
                <w:u w:val="none"/>
                <w:lang w:val="en-US" w:eastAsia="zh-CN" w:bidi="ar"/>
              </w:rPr>
              <w:t>背板带宽</w:t>
            </w:r>
            <w:r>
              <w:rPr>
                <w:rFonts w:hint="default" w:ascii="Times New Roman" w:hAnsi="Times New Roman" w:eastAsia="宋体" w:cs="Times New Roman"/>
                <w:i w:val="0"/>
                <w:iCs w:val="0"/>
                <w:color w:val="000000"/>
                <w:kern w:val="0"/>
                <w:sz w:val="21"/>
                <w:szCs w:val="21"/>
                <w:u w:val="none"/>
                <w:lang w:val="en-US" w:eastAsia="zh-CN" w:bidi="ar"/>
              </w:rPr>
              <w:t>52Gbps,</w:t>
            </w:r>
            <w:r>
              <w:rPr>
                <w:rFonts w:hint="eastAsia" w:ascii="宋体" w:hAnsi="宋体" w:eastAsia="宋体" w:cs="宋体"/>
                <w:i w:val="0"/>
                <w:iCs w:val="0"/>
                <w:color w:val="000000"/>
                <w:kern w:val="0"/>
                <w:sz w:val="21"/>
                <w:szCs w:val="21"/>
                <w:u w:val="none"/>
                <w:lang w:val="en-US" w:eastAsia="zh-CN" w:bidi="ar"/>
              </w:rPr>
              <w:t>包转发率</w:t>
            </w:r>
            <w:r>
              <w:rPr>
                <w:rFonts w:hint="default" w:ascii="Times New Roman" w:hAnsi="Times New Roman" w:eastAsia="宋体" w:cs="Times New Roman"/>
                <w:i w:val="0"/>
                <w:iCs w:val="0"/>
                <w:color w:val="000000"/>
                <w:kern w:val="0"/>
                <w:sz w:val="21"/>
                <w:szCs w:val="21"/>
                <w:u w:val="none"/>
                <w:lang w:val="en-US" w:eastAsia="zh-CN" w:bidi="ar"/>
              </w:rPr>
              <w:t>38.69Mbps</w:t>
            </w:r>
            <w:r>
              <w:rPr>
                <w:rFonts w:hint="eastAsia" w:ascii="宋体" w:hAnsi="宋体" w:eastAsia="宋体" w:cs="宋体"/>
                <w:i w:val="0"/>
                <w:iCs w:val="0"/>
                <w:color w:val="000000"/>
                <w:kern w:val="0"/>
                <w:sz w:val="21"/>
                <w:szCs w:val="21"/>
                <w:u w:val="none"/>
                <w:lang w:val="en-US" w:eastAsia="zh-CN" w:bidi="ar"/>
              </w:rPr>
              <w:t>，端口防雷</w:t>
            </w:r>
            <w:r>
              <w:rPr>
                <w:rFonts w:hint="default" w:ascii="Times New Roman" w:hAnsi="Times New Roman" w:eastAsia="宋体" w:cs="Times New Roman"/>
                <w:i w:val="0"/>
                <w:iCs w:val="0"/>
                <w:color w:val="000000"/>
                <w:kern w:val="0"/>
                <w:sz w:val="21"/>
                <w:szCs w:val="21"/>
                <w:u w:val="none"/>
                <w:lang w:val="en-US" w:eastAsia="zh-CN" w:bidi="ar"/>
              </w:rPr>
              <w:t>6KV</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4AA3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9D52F9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4ED91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1400</w:t>
            </w:r>
          </w:p>
        </w:tc>
      </w:tr>
      <w:tr w14:paraId="01BFA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D8378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2041" w:type="dxa"/>
            <w:tcBorders>
              <w:top w:val="single" w:color="000000" w:sz="4" w:space="0"/>
              <w:left w:val="nil"/>
              <w:bottom w:val="single" w:color="000000" w:sz="4" w:space="0"/>
              <w:right w:val="single" w:color="000000" w:sz="4" w:space="0"/>
            </w:tcBorders>
            <w:noWrap/>
            <w:vAlign w:val="center"/>
          </w:tcPr>
          <w:p w14:paraId="216167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2T监控硬盘</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A91F3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2T监控硬盘</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7BD9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AE57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EBE5B9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680</w:t>
            </w:r>
          </w:p>
        </w:tc>
      </w:tr>
      <w:tr w14:paraId="6C3342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625BA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2041" w:type="dxa"/>
            <w:tcBorders>
              <w:top w:val="single" w:color="000000" w:sz="4" w:space="0"/>
              <w:left w:val="nil"/>
              <w:bottom w:val="single" w:color="000000" w:sz="4" w:space="0"/>
              <w:right w:val="single" w:color="000000" w:sz="4" w:space="0"/>
            </w:tcBorders>
            <w:noWrap/>
            <w:vAlign w:val="center"/>
          </w:tcPr>
          <w:p w14:paraId="497EF4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4T监控硬盘</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34AD6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4T监控硬盘</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F069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18700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EAD0A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940</w:t>
            </w:r>
          </w:p>
        </w:tc>
      </w:tr>
      <w:tr w14:paraId="113F52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8328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2041" w:type="dxa"/>
            <w:tcBorders>
              <w:top w:val="single" w:color="000000" w:sz="4" w:space="0"/>
              <w:left w:val="nil"/>
              <w:bottom w:val="single" w:color="000000" w:sz="4" w:space="0"/>
              <w:right w:val="single" w:color="000000" w:sz="4" w:space="0"/>
            </w:tcBorders>
            <w:noWrap/>
            <w:vAlign w:val="center"/>
          </w:tcPr>
          <w:p w14:paraId="3BC2DC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6T监控硬盘</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3C842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6T监控硬盘</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14ADF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29B1F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BA9D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r>
      <w:tr w14:paraId="195DCA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588FF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2041" w:type="dxa"/>
            <w:tcBorders>
              <w:top w:val="single" w:color="000000" w:sz="4" w:space="0"/>
              <w:left w:val="nil"/>
              <w:bottom w:val="single" w:color="000000" w:sz="4" w:space="0"/>
              <w:right w:val="single" w:color="000000" w:sz="4" w:space="0"/>
            </w:tcBorders>
            <w:noWrap/>
            <w:vAlign w:val="center"/>
          </w:tcPr>
          <w:p w14:paraId="0C9AF1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8T监控硬盘</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727F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8T监控硬盘</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A8B4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6EEE2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33F56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1600</w:t>
            </w:r>
          </w:p>
        </w:tc>
      </w:tr>
      <w:tr w14:paraId="4E0FDE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3B0E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2041" w:type="dxa"/>
            <w:tcBorders>
              <w:top w:val="single" w:color="000000" w:sz="4" w:space="0"/>
              <w:left w:val="nil"/>
              <w:bottom w:val="single" w:color="000000" w:sz="4" w:space="0"/>
              <w:right w:val="single" w:color="000000" w:sz="4" w:space="0"/>
            </w:tcBorders>
            <w:noWrap/>
            <w:vAlign w:val="center"/>
          </w:tcPr>
          <w:p w14:paraId="49D58B6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4路1盘位硬盘录像机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C41227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4路 数字硬盘录像机，压缩格式支持265、264，2盘位，支持onvif协议，SDK协议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D44C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D2CD2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84B07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180</w:t>
            </w:r>
          </w:p>
        </w:tc>
      </w:tr>
      <w:tr w14:paraId="106BED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2CCB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2041" w:type="dxa"/>
            <w:tcBorders>
              <w:top w:val="single" w:color="000000" w:sz="4" w:space="0"/>
              <w:left w:val="nil"/>
              <w:bottom w:val="single" w:color="000000" w:sz="4" w:space="0"/>
              <w:right w:val="single" w:color="000000" w:sz="4" w:space="0"/>
            </w:tcBorders>
            <w:noWrap/>
            <w:vAlign w:val="center"/>
          </w:tcPr>
          <w:p w14:paraId="0ED5AD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8路2盘位硬盘录像机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ACA9B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8路 数字硬盘录像机，压缩格式支持265、264，2盘位，支持onvif协议，SDK协议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D51F6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5B12C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BE9C7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380</w:t>
            </w:r>
          </w:p>
        </w:tc>
      </w:tr>
      <w:tr w14:paraId="3206F3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3B0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2041" w:type="dxa"/>
            <w:tcBorders>
              <w:top w:val="single" w:color="000000" w:sz="4" w:space="0"/>
              <w:left w:val="nil"/>
              <w:bottom w:val="single" w:color="000000" w:sz="4" w:space="0"/>
              <w:right w:val="single" w:color="000000" w:sz="4" w:space="0"/>
            </w:tcBorders>
            <w:noWrap/>
            <w:vAlign w:val="center"/>
          </w:tcPr>
          <w:p w14:paraId="442F48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16路4盘位硬盘录像机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07299D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 数字硬盘录像机，压缩格式支持265、264，4盘位，支持onvif协议，SDK协议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C59DB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F07D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4461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1100</w:t>
            </w:r>
          </w:p>
        </w:tc>
      </w:tr>
      <w:tr w14:paraId="141EE2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12C1C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2041" w:type="dxa"/>
            <w:tcBorders>
              <w:top w:val="single" w:color="000000" w:sz="4" w:space="0"/>
              <w:left w:val="nil"/>
              <w:bottom w:val="single" w:color="000000" w:sz="4" w:space="0"/>
              <w:right w:val="single" w:color="000000" w:sz="4" w:space="0"/>
            </w:tcBorders>
            <w:noWrap/>
            <w:vAlign w:val="center"/>
          </w:tcPr>
          <w:p w14:paraId="456348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16路8盘位硬盘录像机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B07C80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16路数字硬盘录像机，压缩格式支持265、264，8盘位，支持onvif协议，SDK协议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5A24B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3C076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5EFC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1500</w:t>
            </w:r>
          </w:p>
        </w:tc>
      </w:tr>
      <w:tr w14:paraId="007B9D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AB00F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2041" w:type="dxa"/>
            <w:tcBorders>
              <w:top w:val="single" w:color="000000" w:sz="4" w:space="0"/>
              <w:left w:val="nil"/>
              <w:bottom w:val="single" w:color="000000" w:sz="4" w:space="0"/>
              <w:right w:val="single" w:color="000000" w:sz="4" w:space="0"/>
            </w:tcBorders>
            <w:noWrap/>
            <w:vAlign w:val="center"/>
          </w:tcPr>
          <w:p w14:paraId="2A163D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32路8盘位硬盘录像机</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651209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32路数字硬盘录像机，压缩格式支持265、264，8盘位，支持onvif协议，SDK协议</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C8F5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1C6C2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7E2D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r>
      <w:tr w14:paraId="41712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A507E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2041" w:type="dxa"/>
            <w:tcBorders>
              <w:top w:val="single" w:color="000000" w:sz="4" w:space="0"/>
              <w:left w:val="nil"/>
              <w:bottom w:val="single" w:color="000000" w:sz="4" w:space="0"/>
              <w:right w:val="single" w:color="000000" w:sz="4" w:space="0"/>
            </w:tcBorders>
            <w:noWrap/>
            <w:vAlign w:val="center"/>
          </w:tcPr>
          <w:p w14:paraId="37CF12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POE中继器</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03CDE2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POE供电，一分二</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86AC9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AFB58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F4DC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r>
      <w:tr w14:paraId="422023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A7B41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2041" w:type="dxa"/>
            <w:tcBorders>
              <w:top w:val="single" w:color="000000" w:sz="4" w:space="0"/>
              <w:left w:val="nil"/>
              <w:bottom w:val="single" w:color="000000" w:sz="4" w:space="0"/>
              <w:right w:val="single" w:color="000000" w:sz="4" w:space="0"/>
            </w:tcBorders>
            <w:noWrap/>
            <w:vAlign w:val="center"/>
          </w:tcPr>
          <w:p w14:paraId="5FD4C7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POE中继器</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102D75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3口POE中继器 </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9182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BB09A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3F14A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r>
      <w:tr w14:paraId="0ACF63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DF57D8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2041" w:type="dxa"/>
            <w:tcBorders>
              <w:top w:val="single" w:color="000000" w:sz="4" w:space="0"/>
              <w:left w:val="nil"/>
              <w:bottom w:val="single" w:color="000000" w:sz="4" w:space="0"/>
              <w:right w:val="single" w:color="000000" w:sz="4" w:space="0"/>
            </w:tcBorders>
            <w:noWrap/>
            <w:vAlign w:val="center"/>
          </w:tcPr>
          <w:p w14:paraId="21068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网络模块</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8E42D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 CAT6 国标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1F5F8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FADAE9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9FD6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r>
      <w:tr w14:paraId="6DB70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4A4FD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2041" w:type="dxa"/>
            <w:tcBorders>
              <w:top w:val="single" w:color="000000" w:sz="4" w:space="0"/>
              <w:left w:val="nil"/>
              <w:bottom w:val="single" w:color="000000" w:sz="4" w:space="0"/>
              <w:right w:val="single" w:color="000000" w:sz="4" w:space="0"/>
            </w:tcBorders>
            <w:noWrap/>
            <w:vAlign w:val="center"/>
          </w:tcPr>
          <w:p w14:paraId="276C00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双口面板（含底盒）</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F249A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国标</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22C74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7ACF9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4D650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r>
      <w:tr w14:paraId="2A894D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93513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2041" w:type="dxa"/>
            <w:tcBorders>
              <w:top w:val="single" w:color="000000" w:sz="4" w:space="0"/>
              <w:left w:val="nil"/>
              <w:bottom w:val="single" w:color="000000" w:sz="4" w:space="0"/>
              <w:right w:val="single" w:color="000000" w:sz="4" w:space="0"/>
            </w:tcBorders>
            <w:noWrap/>
            <w:vAlign w:val="center"/>
          </w:tcPr>
          <w:p w14:paraId="2ED0F3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监控专用电源</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A5A95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12V2A</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6B3D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80D1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49F7A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5D9066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1F51E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2041" w:type="dxa"/>
            <w:tcBorders>
              <w:top w:val="single" w:color="000000" w:sz="4" w:space="0"/>
              <w:left w:val="nil"/>
              <w:bottom w:val="single" w:color="000000" w:sz="4" w:space="0"/>
              <w:right w:val="single" w:color="000000" w:sz="4" w:space="0"/>
            </w:tcBorders>
            <w:noWrap/>
            <w:vAlign w:val="center"/>
          </w:tcPr>
          <w:p w14:paraId="2D8080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监控专用防水盒</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5B82D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196×110×75mm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F1E8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6C4D9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969920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28EFAF6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4CC9A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2041" w:type="dxa"/>
            <w:tcBorders>
              <w:top w:val="single" w:color="000000" w:sz="4" w:space="0"/>
              <w:left w:val="nil"/>
              <w:bottom w:val="single" w:color="000000" w:sz="4" w:space="0"/>
              <w:right w:val="single" w:color="000000" w:sz="4" w:space="0"/>
            </w:tcBorders>
            <w:noWrap/>
            <w:vAlign w:val="center"/>
          </w:tcPr>
          <w:p w14:paraId="6E567E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304不锈钢室外配电箱</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64C9CE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300*250*150mm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65950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2F24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18992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7A985D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A7FED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2041" w:type="dxa"/>
            <w:tcBorders>
              <w:top w:val="single" w:color="000000" w:sz="4" w:space="0"/>
              <w:left w:val="nil"/>
              <w:bottom w:val="single" w:color="000000" w:sz="4" w:space="0"/>
              <w:right w:val="single" w:color="000000" w:sz="4" w:space="0"/>
            </w:tcBorders>
            <w:noWrap/>
            <w:vAlign w:val="center"/>
          </w:tcPr>
          <w:p w14:paraId="6040F1D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304不锈钢室外配电箱</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0E9F02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400*300*200mm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F77A2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0BCF2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7BCE2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w:t>
            </w:r>
          </w:p>
        </w:tc>
      </w:tr>
      <w:tr w14:paraId="3F0EBF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F2435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2041" w:type="dxa"/>
            <w:tcBorders>
              <w:top w:val="single" w:color="000000" w:sz="4" w:space="0"/>
              <w:left w:val="nil"/>
              <w:bottom w:val="single" w:color="000000" w:sz="4" w:space="0"/>
              <w:right w:val="single" w:color="000000" w:sz="4" w:space="0"/>
            </w:tcBorders>
            <w:noWrap/>
            <w:vAlign w:val="center"/>
          </w:tcPr>
          <w:p w14:paraId="24B180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监控专用电源</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6FF99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12V2A</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B170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D3AA5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B2D15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r>
      <w:tr w14:paraId="71AE7F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AA09D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2041" w:type="dxa"/>
            <w:tcBorders>
              <w:top w:val="single" w:color="000000" w:sz="4" w:space="0"/>
              <w:left w:val="nil"/>
              <w:bottom w:val="single" w:color="000000" w:sz="4" w:space="0"/>
              <w:right w:val="single" w:color="000000" w:sz="4" w:space="0"/>
            </w:tcBorders>
            <w:noWrap/>
            <w:vAlign w:val="center"/>
          </w:tcPr>
          <w:p w14:paraId="5B5E664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监控集中电源</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56EC41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12V20A</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5AE8E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DEE58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3BF819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w:t>
            </w:r>
          </w:p>
        </w:tc>
      </w:tr>
      <w:tr w14:paraId="17DDB8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70FBB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2041" w:type="dxa"/>
            <w:tcBorders>
              <w:top w:val="single" w:color="000000" w:sz="4" w:space="0"/>
              <w:left w:val="nil"/>
              <w:bottom w:val="single" w:color="000000" w:sz="4" w:space="0"/>
              <w:right w:val="single" w:color="000000" w:sz="4" w:space="0"/>
            </w:tcBorders>
            <w:noWrap/>
            <w:vAlign w:val="center"/>
          </w:tcPr>
          <w:p w14:paraId="7C8E3A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收发器电源</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C1F0F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5V2A</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F353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9918A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B0CC4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7796E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25569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2041" w:type="dxa"/>
            <w:tcBorders>
              <w:top w:val="single" w:color="000000" w:sz="4" w:space="0"/>
              <w:left w:val="nil"/>
              <w:bottom w:val="single" w:color="000000" w:sz="4" w:space="0"/>
              <w:right w:val="single" w:color="000000" w:sz="4" w:space="0"/>
            </w:tcBorders>
            <w:noWrap/>
            <w:vAlign w:val="center"/>
          </w:tcPr>
          <w:p w14:paraId="32EA17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六类非屏蔽跳线（2m）</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6E97F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2米 CAT6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574B90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B62A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D9EB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42D9FE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130CB2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2041" w:type="dxa"/>
            <w:tcBorders>
              <w:top w:val="single" w:color="000000" w:sz="4" w:space="0"/>
              <w:left w:val="nil"/>
              <w:bottom w:val="single" w:color="000000" w:sz="4" w:space="0"/>
              <w:right w:val="single" w:color="000000" w:sz="4" w:space="0"/>
            </w:tcBorders>
            <w:noWrap/>
            <w:vAlign w:val="center"/>
          </w:tcPr>
          <w:p w14:paraId="180A98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电源线</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34FB91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RVV2*1.5平方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FC98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EB913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D04C0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0022A9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88F4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2041" w:type="dxa"/>
            <w:tcBorders>
              <w:top w:val="single" w:color="000000" w:sz="4" w:space="0"/>
              <w:left w:val="nil"/>
              <w:bottom w:val="single" w:color="000000" w:sz="4" w:space="0"/>
              <w:right w:val="single" w:color="000000" w:sz="4" w:space="0"/>
            </w:tcBorders>
            <w:noWrap/>
            <w:vAlign w:val="center"/>
          </w:tcPr>
          <w:p w14:paraId="6016B3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六类网线</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1F7D2F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六类非屏蔽网线，305米/箱</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CD48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箱</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9A0F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AE33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620</w:t>
            </w:r>
          </w:p>
        </w:tc>
      </w:tr>
      <w:tr w14:paraId="74162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16F0B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2041" w:type="dxa"/>
            <w:tcBorders>
              <w:top w:val="single" w:color="000000" w:sz="4" w:space="0"/>
              <w:left w:val="nil"/>
              <w:bottom w:val="single" w:color="000000" w:sz="4" w:space="0"/>
              <w:right w:val="single" w:color="000000" w:sz="4" w:space="0"/>
            </w:tcBorders>
            <w:noWrap/>
            <w:vAlign w:val="center"/>
          </w:tcPr>
          <w:p w14:paraId="3EAA4C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室外12芯单模光纤</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C88AD6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室外12芯单模铠装光纤</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3412C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D1B81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14D31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r>
      <w:tr w14:paraId="0F8964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028B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2041" w:type="dxa"/>
            <w:tcBorders>
              <w:top w:val="single" w:color="000000" w:sz="4" w:space="0"/>
              <w:left w:val="nil"/>
              <w:bottom w:val="single" w:color="000000" w:sz="4" w:space="0"/>
              <w:right w:val="single" w:color="000000" w:sz="4" w:space="0"/>
            </w:tcBorders>
            <w:noWrap/>
            <w:vAlign w:val="center"/>
          </w:tcPr>
          <w:p w14:paraId="60E2A8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光纤熔接盒</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BE59F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12芯满配</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0EF8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36E64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EDF8D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185</w:t>
            </w:r>
          </w:p>
        </w:tc>
      </w:tr>
      <w:tr w14:paraId="6190B41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3F068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2041" w:type="dxa"/>
            <w:tcBorders>
              <w:top w:val="single" w:color="000000" w:sz="4" w:space="0"/>
              <w:left w:val="nil"/>
              <w:bottom w:val="single" w:color="000000" w:sz="4" w:space="0"/>
              <w:right w:val="single" w:color="000000" w:sz="4" w:space="0"/>
            </w:tcBorders>
            <w:noWrap/>
            <w:vAlign w:val="center"/>
          </w:tcPr>
          <w:p w14:paraId="3BFAE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千兆单模光纤收发器</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DB9A7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千兆光纤收发器</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578C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520CA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50E5A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1853A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45BD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2041" w:type="dxa"/>
            <w:tcBorders>
              <w:top w:val="single" w:color="000000" w:sz="4" w:space="0"/>
              <w:left w:val="nil"/>
              <w:bottom w:val="single" w:color="000000" w:sz="4" w:space="0"/>
              <w:right w:val="single" w:color="000000" w:sz="4" w:space="0"/>
            </w:tcBorders>
            <w:noWrap/>
            <w:vAlign w:val="center"/>
          </w:tcPr>
          <w:p w14:paraId="3C2189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千兆单模双纤光纤模块</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2FEE23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1310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7F5DD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7F3944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56DD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7B661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655B0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2041" w:type="dxa"/>
            <w:tcBorders>
              <w:top w:val="single" w:color="000000" w:sz="4" w:space="0"/>
              <w:left w:val="nil"/>
              <w:bottom w:val="single" w:color="000000" w:sz="4" w:space="0"/>
              <w:right w:val="single" w:color="000000" w:sz="4" w:space="0"/>
            </w:tcBorders>
            <w:noWrap/>
            <w:vAlign w:val="center"/>
          </w:tcPr>
          <w:p w14:paraId="562DA58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光纤跳线</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D8E51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FC-SC,LC-LC </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53EC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CAFA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AC2B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r>
      <w:tr w14:paraId="0BC5B4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D0522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w:t>
            </w:r>
          </w:p>
        </w:tc>
        <w:tc>
          <w:tcPr>
            <w:tcW w:w="2041" w:type="dxa"/>
            <w:tcBorders>
              <w:top w:val="single" w:color="000000" w:sz="4" w:space="0"/>
              <w:left w:val="nil"/>
              <w:bottom w:val="single" w:color="000000" w:sz="4" w:space="0"/>
              <w:right w:val="single" w:color="000000" w:sz="4" w:space="0"/>
            </w:tcBorders>
            <w:noWrap/>
            <w:vAlign w:val="center"/>
          </w:tcPr>
          <w:p w14:paraId="5A9928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监控专用防水盒</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079B9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128*148*50MM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EA0AC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ECFDD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0BAB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r>
      <w:tr w14:paraId="318CD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33CE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w:t>
            </w:r>
          </w:p>
        </w:tc>
        <w:tc>
          <w:tcPr>
            <w:tcW w:w="2041" w:type="dxa"/>
            <w:tcBorders>
              <w:top w:val="single" w:color="000000" w:sz="4" w:space="0"/>
              <w:left w:val="nil"/>
              <w:bottom w:val="single" w:color="000000" w:sz="4" w:space="0"/>
              <w:right w:val="single" w:color="000000" w:sz="4" w:space="0"/>
            </w:tcBorders>
            <w:noWrap/>
            <w:vAlign w:val="center"/>
          </w:tcPr>
          <w:p w14:paraId="058600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室外防水箱</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D7736B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196×110×75mm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8BE18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只</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A2E9F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86F08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1A9597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4BF7E0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42</w:t>
            </w:r>
          </w:p>
        </w:tc>
        <w:tc>
          <w:tcPr>
            <w:tcW w:w="2041" w:type="dxa"/>
            <w:tcBorders>
              <w:top w:val="single" w:color="000000" w:sz="4" w:space="0"/>
              <w:left w:val="nil"/>
              <w:bottom w:val="single" w:color="000000" w:sz="4" w:space="0"/>
              <w:right w:val="single" w:color="000000" w:sz="4" w:space="0"/>
            </w:tcBorders>
            <w:noWrap/>
            <w:vAlign w:val="center"/>
          </w:tcPr>
          <w:p w14:paraId="36440F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304不锈钢室外配电箱</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8E0B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400*300*200mm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0711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D328E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BE52A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r w14:paraId="3BC118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44930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w:t>
            </w:r>
          </w:p>
        </w:tc>
        <w:tc>
          <w:tcPr>
            <w:tcW w:w="2041" w:type="dxa"/>
            <w:tcBorders>
              <w:top w:val="single" w:color="000000" w:sz="4" w:space="0"/>
              <w:left w:val="nil"/>
              <w:bottom w:val="single" w:color="000000" w:sz="4" w:space="0"/>
              <w:right w:val="single" w:color="000000" w:sz="4" w:space="0"/>
            </w:tcBorders>
            <w:noWrap/>
            <w:vAlign w:val="center"/>
          </w:tcPr>
          <w:p w14:paraId="45384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壁挂式机柜</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4CE925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图腾12U</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52329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796A6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46480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280</w:t>
            </w:r>
          </w:p>
        </w:tc>
      </w:tr>
      <w:tr w14:paraId="6567F2C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4D74A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w:t>
            </w:r>
          </w:p>
        </w:tc>
        <w:tc>
          <w:tcPr>
            <w:tcW w:w="2041" w:type="dxa"/>
            <w:tcBorders>
              <w:top w:val="single" w:color="000000" w:sz="4" w:space="0"/>
              <w:left w:val="nil"/>
              <w:bottom w:val="single" w:color="000000" w:sz="4" w:space="0"/>
              <w:right w:val="single" w:color="000000" w:sz="4" w:space="0"/>
            </w:tcBorders>
            <w:noWrap/>
            <w:vAlign w:val="center"/>
          </w:tcPr>
          <w:p w14:paraId="6895BF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PVC软管</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A1A66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16-25mm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A72B9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964A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B581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r w14:paraId="3C8486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AB19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2041" w:type="dxa"/>
            <w:tcBorders>
              <w:top w:val="single" w:color="000000" w:sz="4" w:space="0"/>
              <w:left w:val="nil"/>
              <w:bottom w:val="single" w:color="000000" w:sz="4" w:space="0"/>
              <w:right w:val="single" w:color="000000" w:sz="4" w:space="0"/>
            </w:tcBorders>
            <w:noWrap/>
            <w:vAlign w:val="center"/>
          </w:tcPr>
          <w:p w14:paraId="29E223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PVC线槽</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1EEA1F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30MM*20mm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AA6C7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63D59B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86FB1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227605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760A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46</w:t>
            </w:r>
          </w:p>
        </w:tc>
        <w:tc>
          <w:tcPr>
            <w:tcW w:w="2041" w:type="dxa"/>
            <w:tcBorders>
              <w:top w:val="single" w:color="000000" w:sz="4" w:space="0"/>
              <w:left w:val="nil"/>
              <w:bottom w:val="single" w:color="000000" w:sz="4" w:space="0"/>
              <w:right w:val="single" w:color="000000" w:sz="4" w:space="0"/>
            </w:tcBorders>
            <w:noWrap/>
            <w:vAlign w:val="center"/>
          </w:tcPr>
          <w:p w14:paraId="63341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PVC线管</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609CB8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20-25MM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10A0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米</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2C6FF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2D532F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r>
      <w:tr w14:paraId="700237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391762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47</w:t>
            </w:r>
          </w:p>
        </w:tc>
        <w:tc>
          <w:tcPr>
            <w:tcW w:w="2041" w:type="dxa"/>
            <w:tcBorders>
              <w:top w:val="single" w:color="000000" w:sz="4" w:space="0"/>
              <w:left w:val="nil"/>
              <w:bottom w:val="single" w:color="000000" w:sz="4" w:space="0"/>
              <w:right w:val="single" w:color="000000" w:sz="4" w:space="0"/>
            </w:tcBorders>
            <w:noWrap/>
            <w:vAlign w:val="center"/>
          </w:tcPr>
          <w:p w14:paraId="6348E64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LED屏排线</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4C6C54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10CM-30CM</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E6D38A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根</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515C228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C2794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r>
      <w:tr w14:paraId="6C661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A0F6F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48</w:t>
            </w:r>
          </w:p>
        </w:tc>
        <w:tc>
          <w:tcPr>
            <w:tcW w:w="2041" w:type="dxa"/>
            <w:tcBorders>
              <w:top w:val="single" w:color="000000" w:sz="4" w:space="0"/>
              <w:left w:val="nil"/>
              <w:bottom w:val="single" w:color="000000" w:sz="4" w:space="0"/>
              <w:right w:val="single" w:color="000000" w:sz="4" w:space="0"/>
            </w:tcBorders>
            <w:noWrap/>
            <w:vAlign w:val="center"/>
          </w:tcPr>
          <w:p w14:paraId="3F17875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LED集中电源</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6E5F9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5V40A</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870E54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612187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868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110</w:t>
            </w:r>
          </w:p>
        </w:tc>
      </w:tr>
      <w:tr w14:paraId="0F424F2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28C5A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w:t>
            </w:r>
          </w:p>
        </w:tc>
        <w:tc>
          <w:tcPr>
            <w:tcW w:w="2041" w:type="dxa"/>
            <w:tcBorders>
              <w:top w:val="single" w:color="000000" w:sz="4" w:space="0"/>
              <w:left w:val="nil"/>
              <w:bottom w:val="single" w:color="000000" w:sz="4" w:space="0"/>
              <w:right w:val="single" w:color="000000" w:sz="4" w:space="0"/>
            </w:tcBorders>
            <w:noWrap/>
            <w:vAlign w:val="center"/>
          </w:tcPr>
          <w:p w14:paraId="6B4C7DB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P3全彩LED屏模块</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1DA19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点间距3mm ；单元分辨率104x52</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450D71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91E0F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266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5795B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EEEFD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w:t>
            </w:r>
          </w:p>
        </w:tc>
        <w:tc>
          <w:tcPr>
            <w:tcW w:w="2041" w:type="dxa"/>
            <w:tcBorders>
              <w:top w:val="single" w:color="000000" w:sz="4" w:space="0"/>
              <w:left w:val="nil"/>
              <w:bottom w:val="single" w:color="000000" w:sz="4" w:space="0"/>
              <w:right w:val="single" w:color="000000" w:sz="4" w:space="0"/>
            </w:tcBorders>
            <w:noWrap/>
            <w:vAlign w:val="center"/>
          </w:tcPr>
          <w:p w14:paraId="3202B9B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P2.5全彩LED屏模块</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0D2349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点间距2.5mm ；单元分辨率128x64</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B8D2C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38C9E72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A94B6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130</w:t>
            </w:r>
          </w:p>
        </w:tc>
      </w:tr>
      <w:tr w14:paraId="034D72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F90C09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51</w:t>
            </w:r>
          </w:p>
        </w:tc>
        <w:tc>
          <w:tcPr>
            <w:tcW w:w="2041" w:type="dxa"/>
            <w:tcBorders>
              <w:top w:val="single" w:color="000000" w:sz="4" w:space="0"/>
              <w:left w:val="nil"/>
              <w:bottom w:val="single" w:color="000000" w:sz="4" w:space="0"/>
              <w:right w:val="single" w:color="000000" w:sz="4" w:space="0"/>
            </w:tcBorders>
            <w:noWrap/>
            <w:vAlign w:val="center"/>
          </w:tcPr>
          <w:p w14:paraId="59FC2CB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P2全彩LED屏模块</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2CCCFB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点间距2mm ；单元分辨率160x80</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098E86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2F9B3B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2481FF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165</w:t>
            </w:r>
          </w:p>
        </w:tc>
      </w:tr>
      <w:tr w14:paraId="4DF48B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6CA652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52</w:t>
            </w:r>
          </w:p>
        </w:tc>
        <w:tc>
          <w:tcPr>
            <w:tcW w:w="2041" w:type="dxa"/>
            <w:tcBorders>
              <w:top w:val="single" w:color="000000" w:sz="4" w:space="0"/>
              <w:left w:val="nil"/>
              <w:bottom w:val="single" w:color="000000" w:sz="4" w:space="0"/>
              <w:right w:val="single" w:color="000000" w:sz="4" w:space="0"/>
            </w:tcBorders>
            <w:noWrap/>
            <w:vAlign w:val="center"/>
          </w:tcPr>
          <w:p w14:paraId="7840394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P3.75室外双色LED屏模块</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3B46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P3.75模组分辨率 64点×32点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223028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A6ADE0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5C1DBA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41EE01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59F86F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w:t>
            </w:r>
          </w:p>
        </w:tc>
        <w:tc>
          <w:tcPr>
            <w:tcW w:w="2041" w:type="dxa"/>
            <w:tcBorders>
              <w:top w:val="single" w:color="000000" w:sz="4" w:space="0"/>
              <w:left w:val="nil"/>
              <w:bottom w:val="single" w:color="000000" w:sz="4" w:space="0"/>
              <w:right w:val="single" w:color="000000" w:sz="4" w:space="0"/>
            </w:tcBorders>
            <w:noWrap/>
            <w:vAlign w:val="center"/>
          </w:tcPr>
          <w:p w14:paraId="0CF3AD7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全彩LED显示屏发送卡</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2253FB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2千兆网口输出，最大带载131万像素，宽度≤3840点，高度≤3840点</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77FFDEB">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50D30D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EE38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700</w:t>
            </w:r>
          </w:p>
        </w:tc>
      </w:tr>
      <w:tr w14:paraId="27C62C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C9708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54</w:t>
            </w:r>
          </w:p>
        </w:tc>
        <w:tc>
          <w:tcPr>
            <w:tcW w:w="2041" w:type="dxa"/>
            <w:tcBorders>
              <w:top w:val="single" w:color="000000" w:sz="4" w:space="0"/>
              <w:left w:val="nil"/>
              <w:bottom w:val="single" w:color="000000" w:sz="4" w:space="0"/>
              <w:right w:val="single" w:color="000000" w:sz="4" w:space="0"/>
            </w:tcBorders>
            <w:noWrap/>
            <w:vAlign w:val="center"/>
          </w:tcPr>
          <w:p w14:paraId="312DCCB0">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全彩LED显示屏接收卡</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03728F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板载16组75接口，32组RGB信号输出， 单卡带载320×640像素</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29A178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4830E284">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6D9E3D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w:t>
            </w:r>
          </w:p>
        </w:tc>
      </w:tr>
      <w:tr w14:paraId="310178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24C534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w:t>
            </w:r>
          </w:p>
        </w:tc>
        <w:tc>
          <w:tcPr>
            <w:tcW w:w="2041" w:type="dxa"/>
            <w:tcBorders>
              <w:top w:val="single" w:color="000000" w:sz="4" w:space="0"/>
              <w:left w:val="nil"/>
              <w:bottom w:val="single" w:color="000000" w:sz="4" w:space="0"/>
              <w:right w:val="single" w:color="000000" w:sz="4" w:space="0"/>
            </w:tcBorders>
            <w:noWrap/>
            <w:vAlign w:val="center"/>
          </w:tcPr>
          <w:p w14:paraId="4C09F43A">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双色LED显示屏接收卡（无线）</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6A2B843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控制点数 单色128K点：2048*64、1024*128、672*192、512*256</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双色64K点：1024*64、512*128、336*192、256*256</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A2B5BC1">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块</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63D63847">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4605E4D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150</w:t>
            </w:r>
          </w:p>
        </w:tc>
      </w:tr>
      <w:tr w14:paraId="3AB487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78B7A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56</w:t>
            </w:r>
          </w:p>
        </w:tc>
        <w:tc>
          <w:tcPr>
            <w:tcW w:w="2041" w:type="dxa"/>
            <w:tcBorders>
              <w:top w:val="single" w:color="000000" w:sz="4" w:space="0"/>
              <w:left w:val="nil"/>
              <w:bottom w:val="single" w:color="000000" w:sz="4" w:space="0"/>
              <w:right w:val="single" w:color="000000" w:sz="4" w:space="0"/>
            </w:tcBorders>
            <w:noWrap/>
            <w:vAlign w:val="center"/>
          </w:tcPr>
          <w:p w14:paraId="6409643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全彩LED视频处理器</w:t>
            </w:r>
          </w:p>
        </w:tc>
        <w:tc>
          <w:tcPr>
            <w:tcW w:w="3231" w:type="dxa"/>
            <w:tcBorders>
              <w:top w:val="single" w:color="000000" w:sz="4" w:space="0"/>
              <w:left w:val="single" w:color="000000" w:sz="4" w:space="0"/>
              <w:bottom w:val="single" w:color="000000" w:sz="4" w:space="0"/>
              <w:right w:val="single" w:color="000000" w:sz="4" w:space="0"/>
            </w:tcBorders>
            <w:noWrap w:val="0"/>
            <w:vAlign w:val="center"/>
          </w:tcPr>
          <w:p w14:paraId="72CD56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支持常见的视频接口。− 2×3G-SDI− 2×HDMI 1.3− 1×DVI− 1×DVI+DVI LOOP</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支持 3 个窗口。</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视频输出最大带载：390 万像素。</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视频输出最大宽度和最大高度均为 4096 像素</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24EC119C">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台</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20A3CBA9">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70F6EA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3000</w:t>
            </w:r>
          </w:p>
        </w:tc>
      </w:tr>
      <w:tr w14:paraId="431BE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 w:hRule="atLeast"/>
        </w:trPr>
        <w:tc>
          <w:tcPr>
            <w:tcW w:w="1080" w:type="dxa"/>
            <w:tcBorders>
              <w:top w:val="single" w:color="000000" w:sz="4" w:space="0"/>
              <w:left w:val="single" w:color="000000" w:sz="4" w:space="0"/>
              <w:bottom w:val="single" w:color="000000" w:sz="4" w:space="0"/>
              <w:right w:val="single" w:color="000000" w:sz="4" w:space="0"/>
            </w:tcBorders>
            <w:noWrap/>
            <w:vAlign w:val="center"/>
          </w:tcPr>
          <w:p w14:paraId="0C33C6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57</w:t>
            </w:r>
          </w:p>
        </w:tc>
        <w:tc>
          <w:tcPr>
            <w:tcW w:w="2041" w:type="dxa"/>
            <w:tcBorders>
              <w:top w:val="single" w:color="000000" w:sz="4" w:space="0"/>
              <w:left w:val="nil"/>
              <w:bottom w:val="single" w:color="000000" w:sz="4" w:space="0"/>
              <w:right w:val="single" w:color="000000" w:sz="4" w:space="0"/>
            </w:tcBorders>
            <w:noWrap/>
            <w:vAlign w:val="center"/>
          </w:tcPr>
          <w:p w14:paraId="4695D2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人工费</w:t>
            </w:r>
          </w:p>
        </w:tc>
        <w:tc>
          <w:tcPr>
            <w:tcW w:w="3231" w:type="dxa"/>
            <w:tcBorders>
              <w:top w:val="single" w:color="000000" w:sz="4" w:space="0"/>
              <w:left w:val="single" w:color="000000" w:sz="4" w:space="0"/>
              <w:bottom w:val="single" w:color="000000" w:sz="4" w:space="0"/>
              <w:right w:val="single" w:color="000000" w:sz="4" w:space="0"/>
            </w:tcBorders>
            <w:noWrap/>
            <w:vAlign w:val="center"/>
          </w:tcPr>
          <w:p w14:paraId="7F8D14C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现场服务、排查问题，新增信息点、监控点等，半天内</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00E0338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人次</w:t>
            </w:r>
          </w:p>
        </w:tc>
        <w:tc>
          <w:tcPr>
            <w:tcW w:w="794" w:type="dxa"/>
            <w:tcBorders>
              <w:top w:val="single" w:color="000000" w:sz="4" w:space="0"/>
              <w:left w:val="single" w:color="000000" w:sz="4" w:space="0"/>
              <w:bottom w:val="single" w:color="000000" w:sz="4" w:space="0"/>
              <w:right w:val="single" w:color="000000" w:sz="4" w:space="0"/>
            </w:tcBorders>
            <w:noWrap/>
            <w:vAlign w:val="center"/>
          </w:tcPr>
          <w:p w14:paraId="181B59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080" w:type="dxa"/>
            <w:tcBorders>
              <w:top w:val="single" w:color="000000" w:sz="4" w:space="0"/>
              <w:left w:val="single" w:color="000000" w:sz="4" w:space="0"/>
              <w:bottom w:val="single" w:color="000000" w:sz="4" w:space="0"/>
              <w:right w:val="single" w:color="000000" w:sz="4" w:space="0"/>
            </w:tcBorders>
            <w:noWrap/>
            <w:vAlign w:val="center"/>
          </w:tcPr>
          <w:p w14:paraId="1B74BA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200</w:t>
            </w:r>
          </w:p>
        </w:tc>
      </w:tr>
    </w:tbl>
    <w:p w14:paraId="2EB2748E">
      <w:pPr>
        <w:rPr>
          <w:rFonts w:hint="eastAsia"/>
          <w:lang w:val="en-US" w:eastAsia="zh-CN"/>
        </w:rPr>
      </w:pPr>
    </w:p>
    <w:p w14:paraId="4122ABC6">
      <w:pPr>
        <w:pStyle w:val="2"/>
        <w:rPr>
          <w:rFonts w:hint="eastAsia"/>
          <w:lang w:val="en-US" w:eastAsia="zh-CN"/>
        </w:rPr>
      </w:pPr>
      <w:bookmarkStart w:id="2" w:name="_GoBack"/>
      <w:bookmarkEnd w:id="2"/>
    </w:p>
    <w:p w14:paraId="69CAF8D1">
      <w:pPr>
        <w:pStyle w:val="3"/>
        <w:rPr>
          <w:rFonts w:hint="eastAsia" w:ascii="宋体" w:hAnsi="宋体"/>
          <w:sz w:val="24"/>
          <w:lang w:val="en-US" w:eastAsia="zh-CN"/>
        </w:rPr>
      </w:pPr>
    </w:p>
    <w:p w14:paraId="14B0DB4B">
      <w:pPr>
        <w:pStyle w:val="3"/>
        <w:rPr>
          <w:rFonts w:hint="default" w:ascii="宋体" w:hAnsi="宋体"/>
          <w:b/>
          <w:bCs/>
          <w:sz w:val="24"/>
          <w:lang w:val="en-US" w:eastAsia="zh-CN"/>
        </w:rPr>
      </w:pPr>
      <w:r>
        <w:rPr>
          <w:rFonts w:hint="eastAsia" w:ascii="宋体" w:hAnsi="宋体"/>
          <w:b/>
          <w:bCs/>
          <w:sz w:val="24"/>
          <w:lang w:val="en-US" w:eastAsia="zh-CN"/>
        </w:rPr>
        <w:t>附件2：</w:t>
      </w:r>
    </w:p>
    <w:p w14:paraId="2EC83F4B">
      <w:pPr>
        <w:jc w:val="center"/>
        <w:rPr>
          <w:rFonts w:hint="default"/>
          <w:b/>
          <w:bCs/>
          <w:sz w:val="36"/>
          <w:szCs w:val="44"/>
          <w:lang w:val="en-US" w:eastAsia="zh-CN"/>
        </w:rPr>
      </w:pPr>
      <w:r>
        <w:rPr>
          <w:rFonts w:hint="eastAsia"/>
          <w:b/>
          <w:bCs/>
          <w:sz w:val="36"/>
          <w:szCs w:val="44"/>
          <w:lang w:val="en-US" w:eastAsia="zh-CN"/>
        </w:rPr>
        <w:t>马鞍山市中医院安防监控维保项目考核表</w:t>
      </w:r>
    </w:p>
    <w:tbl>
      <w:tblPr>
        <w:tblStyle w:val="17"/>
        <w:tblW w:w="8528"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298"/>
        <w:gridCol w:w="5485"/>
        <w:gridCol w:w="384"/>
        <w:gridCol w:w="679"/>
        <w:gridCol w:w="682"/>
      </w:tblGrid>
      <w:tr w14:paraId="2A954B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blHeader/>
          <w:jc w:val="center"/>
        </w:trPr>
        <w:tc>
          <w:tcPr>
            <w:tcW w:w="1298" w:type="dxa"/>
            <w:tcBorders>
              <w:top w:val="single" w:color="000000" w:sz="4" w:space="0"/>
              <w:left w:val="single" w:color="000000" w:sz="4" w:space="0"/>
              <w:bottom w:val="single" w:color="000000" w:sz="4" w:space="0"/>
              <w:right w:val="single" w:color="000000" w:sz="4" w:space="0"/>
            </w:tcBorders>
            <w:noWrap/>
            <w:vAlign w:val="center"/>
          </w:tcPr>
          <w:p w14:paraId="3AC3795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项目</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32F31D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考核内容及参照标准</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DB67B4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47D07B3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分值</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4E5EC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得分</w:t>
            </w:r>
          </w:p>
        </w:tc>
      </w:tr>
      <w:tr w14:paraId="755CC9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noWrap/>
            <w:vAlign w:val="center"/>
          </w:tcPr>
          <w:p w14:paraId="538CECB1">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基本要求</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6B822F4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1、成立专项维护小组，人员组成合理。</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62D942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380A34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7EA0D6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16F1C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6622A5E7">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17DE2F9A">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2、完善的运维管理机制。</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EF48FD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B31D3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D5ADFF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2DC61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0E075E4C">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57E579D7">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3、服务人员行为规范，服务主动热情。</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A0B62E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0386CEC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330782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FF9A6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41D3C6F1">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581B77F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4、建立档案管理制度(包括报修记录、设备维修记录、设备新增记录等)。</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10A936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6567AE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E61CB53">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CAFB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172BB7D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4F71B5A0">
            <w:pPr>
              <w:keepNext w:val="0"/>
              <w:keepLines w:val="0"/>
              <w:widowControl/>
              <w:suppressLineNumbers w:val="0"/>
              <w:snapToGrid w:val="0"/>
              <w:ind w:left="0" w:leftChars="0" w:right="0" w:rightChars="0" w:firstLine="0" w:firstLineChars="0"/>
              <w:jc w:val="left"/>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5、接到报修，2小时到达现场，新增或更换设备在5天内完成安装调试。</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1911FFA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A05CD40">
            <w:pPr>
              <w:keepNext w:val="0"/>
              <w:keepLines w:val="0"/>
              <w:widowControl/>
              <w:suppressLineNumbers w:val="0"/>
              <w:snapToGrid w:val="0"/>
              <w:ind w:left="0" w:leftChars="0" w:right="0" w:rightChars="0" w:firstLine="0" w:firstLineChars="0"/>
              <w:jc w:val="center"/>
              <w:textAlignment w:val="center"/>
              <w:rPr>
                <w:rFonts w:hint="default" w:ascii="宋体" w:hAnsi="宋体" w:eastAsia="宋体" w:cs="宋体"/>
                <w:i w:val="0"/>
                <w:iCs w:val="0"/>
                <w:color w:val="000000"/>
                <w:sz w:val="22"/>
                <w:szCs w:val="22"/>
                <w:u w:val="none"/>
                <w:lang w:val="en-US"/>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4C14F5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29303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1AC3C96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4B50B2A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6、提供合理报价，报价参照货物一览表，收费合理。</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380FC89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AE8D7D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DF70DF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C9409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40F1776D">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03754EA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7、维保过程未出现敷衍了事情况。</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B7BEAA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198F07A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49DC53F">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BEA2F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noWrap/>
            <w:vAlign w:val="center"/>
          </w:tcPr>
          <w:p w14:paraId="73C13CB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前端维护维修</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4924294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1、每月一次对摄像机除尘保养，并检查摄像机的紧固情况。</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036AF32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3A029650">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DAA65C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A350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543BCDEE">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23614657">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2、检查室外监控点立杆锈蚀情况并采取适当防腐措施，必要时更换。</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0537ED3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1EACE5F9">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70E4C75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AACF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7823E82A">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04F4DAC3">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3、设备连接线固定牢靠。</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3B6C9BF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5FE4640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138361EA">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4EF6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53EE504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58B81CF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4、监控点在线率达到98%。</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728CB07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FB7F8A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8A0FDF2">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E4AD9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0DE92E4B">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319BC95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5、同一设备一月内发生故障三次或以上，更换故障设备。</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9AADAF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6E283CD">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B8E921D">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01DAEB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1E956686">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7B6E7F02">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6、替换设备参数应不低于或相当于备件，应是原品牌或备件表品牌库中品牌。</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CC2025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2068BBDE">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F54A0F8">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B4EC4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noWrap/>
            <w:vAlign w:val="center"/>
          </w:tcPr>
          <w:p w14:paraId="21E73464">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汇聚点维护维修</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3F2F6BD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1、每月一次对机柜内设备除尘保养。</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54FE2514">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398906B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9D26A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475C22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47F0C605">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2C88E2CB">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2、机柜走线平整，标识清楚。</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79A9B42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3B9DEDDC">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4F891A5E">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32C43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257CB283">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180AD18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3、同一设备一月内发生故障三次或以上，更换故障设备。</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0304DEA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DBC7492">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A03AD20">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3843D1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4DD9205F">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415F3D9E">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4、替换设备参数应不低于或相当于备件，应是原品牌或备件表品牌库中品牌。</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13082C6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4681668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FD15C29">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77BDE7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restart"/>
            <w:tcBorders>
              <w:top w:val="single" w:color="000000" w:sz="4" w:space="0"/>
              <w:left w:val="single" w:color="000000" w:sz="4" w:space="0"/>
              <w:bottom w:val="single" w:color="000000" w:sz="4" w:space="0"/>
              <w:right w:val="single" w:color="000000" w:sz="4" w:space="0"/>
            </w:tcBorders>
            <w:noWrap/>
            <w:vAlign w:val="center"/>
          </w:tcPr>
          <w:p w14:paraId="790FD13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监控中心维护维修</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01BE8260">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1、每月一次对监控中心设备除尘保养。</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44A6F166">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1C479D77">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F6782B4">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5A1E9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548F240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0C8F65E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2、机柜走线平整，标识清楚。</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7AF6AAF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6223ED1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3212F29B">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3D79F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18EEE4C2">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7E340EE5">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3、同一设备一月内发生故障三次或以上，更换故障设备。</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61BADF6B">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31D32F6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60A7B681">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6976CA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vMerge w:val="continue"/>
            <w:tcBorders>
              <w:top w:val="single" w:color="000000" w:sz="4" w:space="0"/>
              <w:left w:val="single" w:color="000000" w:sz="4" w:space="0"/>
              <w:bottom w:val="single" w:color="000000" w:sz="4" w:space="0"/>
              <w:right w:val="single" w:color="000000" w:sz="4" w:space="0"/>
            </w:tcBorders>
            <w:noWrap/>
            <w:vAlign w:val="center"/>
          </w:tcPr>
          <w:p w14:paraId="55680479">
            <w:pPr>
              <w:snapToGrid w:val="0"/>
              <w:ind w:left="0" w:leftChars="0" w:right="0" w:rightChars="0" w:firstLine="0" w:firstLineChars="0"/>
              <w:jc w:val="left"/>
              <w:rPr>
                <w:rFonts w:hint="eastAsia" w:ascii="宋体" w:hAnsi="宋体" w:eastAsia="宋体" w:cs="宋体"/>
                <w:i w:val="0"/>
                <w:iCs w:val="0"/>
                <w:color w:val="000000"/>
                <w:sz w:val="22"/>
                <w:szCs w:val="22"/>
                <w:u w:val="none"/>
              </w:rPr>
            </w:pP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63D58418">
            <w:pPr>
              <w:keepNext w:val="0"/>
              <w:keepLines w:val="0"/>
              <w:widowControl/>
              <w:suppressLineNumbers w:val="0"/>
              <w:snapToGrid w:val="0"/>
              <w:ind w:left="0" w:leftChars="0" w:right="0" w:rightChars="0" w:firstLine="0" w:firstLineChars="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4、替换设备参数应不低于或相当于备件，应是原品牌或备件表品牌库中品牌。</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7C81FDD1">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7649CE6F">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07D74595">
            <w:pPr>
              <w:snapToGrid w:val="0"/>
              <w:ind w:left="0" w:leftChars="0" w:right="0" w:rightChars="0" w:firstLine="0" w:firstLineChars="0"/>
              <w:jc w:val="center"/>
              <w:rPr>
                <w:rFonts w:hint="eastAsia" w:ascii="宋体" w:hAnsi="宋体" w:eastAsia="宋体" w:cs="宋体"/>
                <w:i w:val="0"/>
                <w:iCs w:val="0"/>
                <w:color w:val="000000"/>
                <w:sz w:val="22"/>
                <w:szCs w:val="22"/>
                <w:u w:val="none"/>
              </w:rPr>
            </w:pPr>
          </w:p>
        </w:tc>
      </w:tr>
      <w:tr w14:paraId="14BE4A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5485" w:type="dxa"/>
            <w:gridSpan w:val="2"/>
            <w:tcBorders>
              <w:top w:val="single" w:color="000000" w:sz="4" w:space="0"/>
              <w:left w:val="single" w:color="000000" w:sz="4" w:space="0"/>
              <w:bottom w:val="single" w:color="000000" w:sz="4" w:space="0"/>
              <w:right w:val="single" w:color="000000" w:sz="4" w:space="0"/>
            </w:tcBorders>
            <w:noWrap/>
            <w:vAlign w:val="center"/>
          </w:tcPr>
          <w:p w14:paraId="7F05A78A">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合计</w:t>
            </w:r>
          </w:p>
        </w:tc>
        <w:tc>
          <w:tcPr>
            <w:tcW w:w="384" w:type="dxa"/>
            <w:tcBorders>
              <w:top w:val="single" w:color="000000" w:sz="4" w:space="0"/>
              <w:left w:val="single" w:color="000000" w:sz="4" w:space="0"/>
              <w:bottom w:val="single" w:color="000000" w:sz="4" w:space="0"/>
              <w:right w:val="single" w:color="000000" w:sz="4" w:space="0"/>
            </w:tcBorders>
            <w:noWrap/>
            <w:vAlign w:val="center"/>
          </w:tcPr>
          <w:p w14:paraId="2436D42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kern w:val="0"/>
                <w:sz w:val="22"/>
                <w:szCs w:val="22"/>
                <w:u w:val="none"/>
                <w:lang w:val="en-US" w:eastAsia="zh-CN" w:bidi="ar"/>
              </w:rPr>
            </w:pPr>
          </w:p>
        </w:tc>
        <w:tc>
          <w:tcPr>
            <w:tcW w:w="679" w:type="dxa"/>
            <w:tcBorders>
              <w:top w:val="single" w:color="000000" w:sz="4" w:space="0"/>
              <w:left w:val="single" w:color="000000" w:sz="4" w:space="0"/>
              <w:bottom w:val="single" w:color="000000" w:sz="4" w:space="0"/>
              <w:right w:val="single" w:color="000000" w:sz="4" w:space="0"/>
            </w:tcBorders>
            <w:noWrap/>
            <w:vAlign w:val="center"/>
          </w:tcPr>
          <w:p w14:paraId="02E19313">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b/>
                <w:i w:val="0"/>
                <w:iCs w:val="0"/>
                <w:color w:val="000000"/>
                <w:sz w:val="22"/>
                <w:szCs w:val="22"/>
                <w:u w:val="none"/>
              </w:rPr>
            </w:pPr>
            <w:r>
              <w:rPr>
                <w:rFonts w:hint="eastAsia" w:ascii="宋体" w:hAnsi="宋体" w:eastAsia="宋体" w:cs="宋体"/>
                <w:b/>
                <w:i w:val="0"/>
                <w:iCs w:val="0"/>
                <w:color w:val="000000"/>
                <w:kern w:val="0"/>
                <w:sz w:val="22"/>
                <w:szCs w:val="22"/>
                <w:u w:val="none"/>
                <w:lang w:val="en-US" w:eastAsia="zh-CN" w:bidi="ar"/>
              </w:rPr>
              <w:t>100</w:t>
            </w:r>
          </w:p>
        </w:tc>
        <w:tc>
          <w:tcPr>
            <w:tcW w:w="682" w:type="dxa"/>
            <w:tcBorders>
              <w:top w:val="single" w:color="000000" w:sz="4" w:space="0"/>
              <w:left w:val="single" w:color="000000" w:sz="4" w:space="0"/>
              <w:bottom w:val="single" w:color="000000" w:sz="4" w:space="0"/>
              <w:right w:val="single" w:color="000000" w:sz="4" w:space="0"/>
            </w:tcBorders>
            <w:noWrap/>
            <w:vAlign w:val="center"/>
          </w:tcPr>
          <w:p w14:paraId="2656812E">
            <w:pPr>
              <w:snapToGrid w:val="0"/>
              <w:ind w:left="0" w:leftChars="0" w:right="0" w:rightChars="0" w:firstLine="0" w:firstLineChars="0"/>
              <w:jc w:val="center"/>
              <w:rPr>
                <w:rFonts w:hint="eastAsia" w:ascii="宋体" w:hAnsi="宋体" w:eastAsia="宋体" w:cs="宋体"/>
                <w:b/>
                <w:i w:val="0"/>
                <w:iCs w:val="0"/>
                <w:color w:val="000000"/>
                <w:sz w:val="22"/>
                <w:szCs w:val="22"/>
                <w:u w:val="none"/>
              </w:rPr>
            </w:pPr>
          </w:p>
        </w:tc>
      </w:tr>
      <w:tr w14:paraId="70FB13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tcBorders>
              <w:top w:val="single" w:color="000000" w:sz="4" w:space="0"/>
              <w:left w:val="single" w:color="000000" w:sz="4" w:space="0"/>
              <w:bottom w:val="single" w:color="000000" w:sz="4" w:space="0"/>
              <w:right w:val="single" w:color="000000" w:sz="4" w:space="0"/>
            </w:tcBorders>
            <w:noWrap/>
            <w:vAlign w:val="center"/>
          </w:tcPr>
          <w:p w14:paraId="41D47DFC">
            <w:pPr>
              <w:tabs>
                <w:tab w:val="left" w:pos="3650"/>
              </w:tabs>
              <w:snapToGrid w:val="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考核人：</w:t>
            </w:r>
          </w:p>
        </w:tc>
        <w:tc>
          <w:tcPr>
            <w:tcW w:w="5485" w:type="dxa"/>
            <w:tcBorders>
              <w:top w:val="single" w:color="000000" w:sz="4" w:space="0"/>
              <w:left w:val="single" w:color="000000" w:sz="4" w:space="0"/>
              <w:bottom w:val="single" w:color="000000" w:sz="4" w:space="0"/>
              <w:right w:val="single" w:color="000000" w:sz="4" w:space="0"/>
            </w:tcBorders>
            <w:noWrap/>
            <w:vAlign w:val="center"/>
          </w:tcPr>
          <w:p w14:paraId="444513B4">
            <w:pPr>
              <w:tabs>
                <w:tab w:val="left" w:pos="3650"/>
              </w:tabs>
              <w:snapToGrid w:val="0"/>
              <w:ind w:left="0" w:leftChars="0" w:right="0" w:rightChars="0" w:firstLine="0" w:firstLineChars="0"/>
              <w:jc w:val="center"/>
              <w:rPr>
                <w:rFonts w:hint="eastAsia" w:ascii="宋体" w:hAnsi="宋体" w:eastAsia="宋体" w:cs="宋体"/>
                <w:i w:val="0"/>
                <w:iCs w:val="0"/>
                <w:color w:val="000000"/>
                <w:sz w:val="22"/>
                <w:szCs w:val="22"/>
                <w:u w:val="none"/>
                <w:lang w:val="en-US" w:eastAsia="zh-CN"/>
              </w:rPr>
            </w:pPr>
          </w:p>
        </w:tc>
        <w:tc>
          <w:tcPr>
            <w:tcW w:w="682" w:type="dxa"/>
            <w:gridSpan w:val="3"/>
            <w:tcBorders>
              <w:top w:val="single" w:color="000000" w:sz="4" w:space="0"/>
              <w:left w:val="single" w:color="000000" w:sz="4" w:space="0"/>
              <w:bottom w:val="single" w:color="000000" w:sz="4" w:space="0"/>
              <w:right w:val="single" w:color="000000" w:sz="4" w:space="0"/>
            </w:tcBorders>
            <w:noWrap/>
            <w:vAlign w:val="center"/>
          </w:tcPr>
          <w:p w14:paraId="53452C6D">
            <w:pPr>
              <w:tabs>
                <w:tab w:val="left" w:pos="3650"/>
              </w:tabs>
              <w:snapToGrid w:val="0"/>
              <w:ind w:left="0" w:leftChars="0" w:right="0" w:rightChars="0" w:firstLine="0" w:firstLineChars="0"/>
              <w:jc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考核结果：</w:t>
            </w:r>
          </w:p>
        </w:tc>
      </w:tr>
      <w:tr w14:paraId="6E5D0C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jc w:val="center"/>
        </w:trPr>
        <w:tc>
          <w:tcPr>
            <w:tcW w:w="1298" w:type="dxa"/>
            <w:tcBorders>
              <w:top w:val="single" w:color="000000" w:sz="4" w:space="0"/>
              <w:left w:val="single" w:color="000000" w:sz="4" w:space="0"/>
              <w:bottom w:val="single" w:color="000000" w:sz="4" w:space="0"/>
              <w:right w:val="single" w:color="000000" w:sz="4" w:space="0"/>
            </w:tcBorders>
            <w:noWrap/>
            <w:vAlign w:val="center"/>
          </w:tcPr>
          <w:p w14:paraId="54FE0275">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kern w:val="0"/>
                <w:sz w:val="22"/>
                <w:szCs w:val="22"/>
                <w:u w:val="none"/>
                <w:lang w:val="en-US" w:eastAsia="zh-CN" w:bidi="ar"/>
              </w:rPr>
            </w:pPr>
          </w:p>
        </w:tc>
        <w:tc>
          <w:tcPr>
            <w:tcW w:w="682" w:type="dxa"/>
            <w:gridSpan w:val="4"/>
            <w:tcBorders>
              <w:top w:val="single" w:color="000000" w:sz="4" w:space="0"/>
              <w:left w:val="single" w:color="000000" w:sz="4" w:space="0"/>
              <w:bottom w:val="single" w:color="000000" w:sz="4" w:space="0"/>
              <w:right w:val="single" w:color="000000" w:sz="4" w:space="0"/>
            </w:tcBorders>
            <w:noWrap/>
            <w:vAlign w:val="center"/>
          </w:tcPr>
          <w:p w14:paraId="0902F008">
            <w:pPr>
              <w:keepNext w:val="0"/>
              <w:keepLines w:val="0"/>
              <w:widowControl/>
              <w:suppressLineNumbers w:val="0"/>
              <w:snapToGrid w:val="0"/>
              <w:ind w:left="0" w:leftChars="0" w:right="0" w:rightChars="0" w:firstLine="0" w:firstLineChars="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备注：评分分值达到90分（含90分）以上的，视为合格；本季度未发生的考核内容及参照标准按此项满分评分。</w:t>
            </w:r>
          </w:p>
        </w:tc>
      </w:tr>
    </w:tbl>
    <w:p w14:paraId="35A4DC23">
      <w:pPr>
        <w:rPr>
          <w:rFonts w:hint="eastAsia"/>
          <w:lang w:val="en-US" w:eastAsia="zh-CN"/>
        </w:rPr>
      </w:pPr>
      <w:r>
        <w:rPr>
          <w:rFonts w:hint="eastAsia" w:ascii="宋体" w:hAnsi="宋体"/>
          <w:sz w:val="21"/>
          <w:szCs w:val="21"/>
          <w:lang w:val="en-US" w:eastAsia="zh-CN"/>
        </w:rPr>
        <w:t>考核时间：</w:t>
      </w:r>
      <w:r>
        <w:rPr>
          <w:rFonts w:hint="eastAsia" w:ascii="宋体" w:hAnsi="宋体"/>
          <w:sz w:val="21"/>
          <w:szCs w:val="21"/>
          <w:u w:val="thick" w:color="000000" w:themeColor="text1"/>
          <w:lang w:val="en-US" w:eastAsia="zh-CN"/>
        </w:rPr>
        <w:t xml:space="preserve">              </w:t>
      </w:r>
      <w:r>
        <w:rPr>
          <w:rFonts w:hint="eastAsia" w:ascii="宋体" w:hAnsi="宋体"/>
          <w:sz w:val="21"/>
          <w:szCs w:val="21"/>
          <w:u w:val="thick"/>
          <w:lang w:val="en-US" w:eastAsia="zh-CN"/>
        </w:rPr>
        <w:t xml:space="preserve">   </w:t>
      </w:r>
      <w:r>
        <w:rPr>
          <w:rFonts w:hint="eastAsia" w:ascii="宋体" w:hAnsi="宋体"/>
          <w:sz w:val="21"/>
          <w:szCs w:val="21"/>
          <w:u w:val="single"/>
          <w:lang w:val="en-US" w:eastAsia="zh-CN"/>
        </w:rPr>
        <w:t xml:space="preserve">  </w:t>
      </w:r>
    </w:p>
    <w:sectPr>
      <w:headerReference r:id="rId3" w:type="default"/>
      <w:footerReference r:id="rId5" w:type="default"/>
      <w:headerReference r:id="rId4" w:type="even"/>
      <w:pgSz w:w="11906" w:h="16838"/>
      <w:pgMar w:top="1440" w:right="1797" w:bottom="1440" w:left="1797"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4D"/>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 w:name="Plotter">
    <w:altName w:val="Segoe Print"/>
    <w:panose1 w:val="00000000000000000000"/>
    <w:charset w:val="00"/>
    <w:family w:val="roman"/>
    <w:pitch w:val="default"/>
    <w:sig w:usb0="00000000" w:usb1="00000000" w:usb2="0000006E" w:usb3="00000000" w:csb0="00000002" w:csb1="0062E6A4"/>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3FDF72">
    <w:pPr>
      <w:pStyle w:val="12"/>
    </w:pPr>
    <w:r>
      <w:rPr>
        <w:sz w:val="18"/>
      </w:rPr>
      <w:pict>
        <v:shape id="_x0000_s4097" o:spid="_x0000_s4097"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14:paraId="51E737A5">
                <w:pPr>
                  <w:pStyle w:val="12"/>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979717">
    <w:pPr>
      <w:pStyle w:val="13"/>
      <w:pBdr>
        <w:bottom w:val="none" w:color="auto" w:sz="0" w:space="0"/>
      </w:pBdr>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310D82">
    <w:pPr>
      <w:pStyle w:val="1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docVars>
    <w:docVar w:name="commondata" w:val="eyJoZGlkIjoiNjVjOGUxODk1YzY2NTUxMWVjNzRmZDgxYTIzNjVjOGQifQ=="/>
  </w:docVars>
  <w:rsids>
    <w:rsidRoot w:val="00000000"/>
    <w:rsid w:val="006335AF"/>
    <w:rsid w:val="020A3257"/>
    <w:rsid w:val="03CB7491"/>
    <w:rsid w:val="052A3046"/>
    <w:rsid w:val="05C65170"/>
    <w:rsid w:val="05EB0880"/>
    <w:rsid w:val="062E4AEA"/>
    <w:rsid w:val="06CC51B2"/>
    <w:rsid w:val="06E339B1"/>
    <w:rsid w:val="07E96A1E"/>
    <w:rsid w:val="09175C96"/>
    <w:rsid w:val="0A6C6349"/>
    <w:rsid w:val="0B8A6221"/>
    <w:rsid w:val="16135A37"/>
    <w:rsid w:val="187263AC"/>
    <w:rsid w:val="1A5A58C9"/>
    <w:rsid w:val="1BE30673"/>
    <w:rsid w:val="1C7F35CF"/>
    <w:rsid w:val="1EA6006C"/>
    <w:rsid w:val="200B3B6B"/>
    <w:rsid w:val="20230655"/>
    <w:rsid w:val="21072CC7"/>
    <w:rsid w:val="2214117B"/>
    <w:rsid w:val="22F722B3"/>
    <w:rsid w:val="230044F9"/>
    <w:rsid w:val="25253F4E"/>
    <w:rsid w:val="25D6079F"/>
    <w:rsid w:val="27E74129"/>
    <w:rsid w:val="28901CFF"/>
    <w:rsid w:val="28A63A77"/>
    <w:rsid w:val="28E75901"/>
    <w:rsid w:val="298F1778"/>
    <w:rsid w:val="2F3A581B"/>
    <w:rsid w:val="2F683B53"/>
    <w:rsid w:val="2F937E28"/>
    <w:rsid w:val="30C2420B"/>
    <w:rsid w:val="310E58A1"/>
    <w:rsid w:val="322F2D66"/>
    <w:rsid w:val="32354DFC"/>
    <w:rsid w:val="323653FE"/>
    <w:rsid w:val="33082D45"/>
    <w:rsid w:val="3459486C"/>
    <w:rsid w:val="36EF52AD"/>
    <w:rsid w:val="38402058"/>
    <w:rsid w:val="3B326DB3"/>
    <w:rsid w:val="3C4E2A76"/>
    <w:rsid w:val="3CD016DD"/>
    <w:rsid w:val="3D94095C"/>
    <w:rsid w:val="40147341"/>
    <w:rsid w:val="4170347F"/>
    <w:rsid w:val="42917E16"/>
    <w:rsid w:val="449C2FE1"/>
    <w:rsid w:val="484B78BD"/>
    <w:rsid w:val="494D732E"/>
    <w:rsid w:val="4BC7781D"/>
    <w:rsid w:val="4D20467D"/>
    <w:rsid w:val="50146947"/>
    <w:rsid w:val="51C74FB8"/>
    <w:rsid w:val="51F635A0"/>
    <w:rsid w:val="52FA6DA5"/>
    <w:rsid w:val="57945C73"/>
    <w:rsid w:val="57C00874"/>
    <w:rsid w:val="58D331A8"/>
    <w:rsid w:val="5C013209"/>
    <w:rsid w:val="5C6B760E"/>
    <w:rsid w:val="5D2121DE"/>
    <w:rsid w:val="5EEC10DE"/>
    <w:rsid w:val="5FF608A7"/>
    <w:rsid w:val="602D5FC1"/>
    <w:rsid w:val="608A34B1"/>
    <w:rsid w:val="63CE4319"/>
    <w:rsid w:val="63D95EC9"/>
    <w:rsid w:val="64702AD3"/>
    <w:rsid w:val="6C6E4B04"/>
    <w:rsid w:val="6D8E7496"/>
    <w:rsid w:val="6E16292A"/>
    <w:rsid w:val="7075590D"/>
    <w:rsid w:val="71CC2454"/>
    <w:rsid w:val="72DC3AFD"/>
    <w:rsid w:val="735C50AE"/>
    <w:rsid w:val="73E8476A"/>
    <w:rsid w:val="73F364FA"/>
    <w:rsid w:val="74742919"/>
    <w:rsid w:val="747B3DF9"/>
    <w:rsid w:val="74EE54C4"/>
    <w:rsid w:val="750730DA"/>
    <w:rsid w:val="753B3DF9"/>
    <w:rsid w:val="77C83757"/>
    <w:rsid w:val="77E640D1"/>
    <w:rsid w:val="780B0ECF"/>
    <w:rsid w:val="78D6764B"/>
    <w:rsid w:val="78E57CE3"/>
    <w:rsid w:val="7A0D74F1"/>
    <w:rsid w:val="7A992BBA"/>
    <w:rsid w:val="7B404F0F"/>
    <w:rsid w:val="7B450E59"/>
    <w:rsid w:val="7E6C6EE8"/>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qFormat="1" w:unhideWhenUsed="0"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name="Body Text First Indent 2"/>
    <w:lsdException w:uiPriority="99" w:name="Note Heading"/>
    <w:lsdException w:qFormat="1" w:unhideWhenUsed="0" w:uiPriority="0" w:semiHidden="0" w:name="Body Text 2"/>
    <w:lsdException w:uiPriority="99" w:name="Body Text 3"/>
    <w:lsdException w:qFormat="1" w:unhideWhenUsed="0" w:uiPriority="0" w:semiHidden="0"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nhideWhenUsed="0" w:uiPriority="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黑体"/>
      <w:kern w:val="2"/>
      <w:sz w:val="21"/>
      <w:szCs w:val="22"/>
      <w:lang w:val="en-US" w:eastAsia="zh-CN" w:bidi="ar-SA"/>
    </w:rPr>
  </w:style>
  <w:style w:type="paragraph" w:styleId="4">
    <w:name w:val="heading 1"/>
    <w:basedOn w:val="1"/>
    <w:next w:val="1"/>
    <w:link w:val="34"/>
    <w:qFormat/>
    <w:uiPriority w:val="0"/>
    <w:pPr>
      <w:keepNext/>
      <w:keepLines/>
      <w:spacing w:before="340" w:after="330" w:line="578" w:lineRule="auto"/>
      <w:jc w:val="center"/>
      <w:outlineLvl w:val="0"/>
    </w:pPr>
    <w:rPr>
      <w:rFonts w:ascii="Times New Roman" w:hAnsi="Times New Roman" w:eastAsia="黑体"/>
      <w:b/>
      <w:bCs/>
      <w:kern w:val="44"/>
      <w:sz w:val="30"/>
      <w:szCs w:val="44"/>
    </w:rPr>
  </w:style>
  <w:style w:type="paragraph" w:styleId="5">
    <w:name w:val="heading 2"/>
    <w:basedOn w:val="1"/>
    <w:next w:val="1"/>
    <w:qFormat/>
    <w:uiPriority w:val="0"/>
    <w:pPr>
      <w:keepNext/>
      <w:keepLines/>
      <w:spacing w:before="260" w:after="260" w:line="412" w:lineRule="auto"/>
      <w:jc w:val="center"/>
      <w:outlineLvl w:val="1"/>
    </w:pPr>
    <w:rPr>
      <w:rFonts w:ascii="Arial" w:hAnsi="Arial" w:eastAsia="黑体"/>
      <w:b/>
      <w:bCs/>
      <w:sz w:val="32"/>
      <w:szCs w:val="32"/>
    </w:rPr>
  </w:style>
  <w:style w:type="paragraph" w:styleId="6">
    <w:name w:val="heading 3"/>
    <w:basedOn w:val="1"/>
    <w:next w:val="1"/>
    <w:qFormat/>
    <w:uiPriority w:val="0"/>
    <w:pPr>
      <w:keepNext/>
      <w:keepLines/>
      <w:spacing w:before="260" w:beforeLines="0" w:after="260" w:afterLines="0" w:line="413" w:lineRule="auto"/>
      <w:outlineLvl w:val="2"/>
    </w:pPr>
    <w:rPr>
      <w:b/>
      <w:sz w:val="32"/>
    </w:rPr>
  </w:style>
  <w:style w:type="paragraph" w:styleId="7">
    <w:name w:val="heading 4"/>
    <w:basedOn w:val="1"/>
    <w:next w:val="1"/>
    <w:unhideWhenUsed/>
    <w:qFormat/>
    <w:uiPriority w:val="0"/>
    <w:pPr>
      <w:keepNext/>
      <w:keepLines/>
      <w:spacing w:before="280" w:beforeLines="0" w:beforeAutospacing="0" w:after="290" w:afterLines="0" w:afterAutospacing="0" w:line="372" w:lineRule="auto"/>
      <w:outlineLvl w:val="3"/>
    </w:pPr>
    <w:rPr>
      <w:rFonts w:ascii="Arial" w:hAnsi="Arial" w:eastAsia="仿宋" w:cs="Times New Roman"/>
      <w:b/>
      <w:sz w:val="24"/>
    </w:rPr>
  </w:style>
  <w:style w:type="character" w:default="1" w:styleId="19">
    <w:name w:val="Default Paragraph Font"/>
    <w:semiHidden/>
    <w:unhideWhenUsed/>
    <w:qFormat/>
    <w:uiPriority w:val="1"/>
  </w:style>
  <w:style w:type="table" w:default="1" w:styleId="17">
    <w:name w:val="Normal Table"/>
    <w:semiHidden/>
    <w:qFormat/>
    <w:uiPriority w:val="0"/>
    <w:tblPr>
      <w:tblCellMar>
        <w:top w:w="0" w:type="dxa"/>
        <w:left w:w="108" w:type="dxa"/>
        <w:bottom w:w="0" w:type="dxa"/>
        <w:right w:w="108" w:type="dxa"/>
      </w:tblCellMar>
    </w:tblPr>
  </w:style>
  <w:style w:type="paragraph" w:styleId="2">
    <w:name w:val="Body Text"/>
    <w:basedOn w:val="1"/>
    <w:next w:val="3"/>
    <w:link w:val="28"/>
    <w:qFormat/>
    <w:uiPriority w:val="0"/>
    <w:pPr>
      <w:jc w:val="left"/>
    </w:pPr>
    <w:rPr>
      <w:rFonts w:ascii="Arial" w:hAnsi="Arial" w:eastAsia="黑体"/>
      <w:b/>
      <w:sz w:val="32"/>
    </w:rPr>
  </w:style>
  <w:style w:type="paragraph" w:styleId="3">
    <w:name w:val="toc 2"/>
    <w:basedOn w:val="1"/>
    <w:next w:val="1"/>
    <w:qFormat/>
    <w:uiPriority w:val="39"/>
    <w:pPr>
      <w:ind w:left="210"/>
    </w:pPr>
    <w:rPr>
      <w:rFonts w:ascii="Calibri" w:hAnsi="Calibri" w:eastAsia="宋体" w:cs="Times New Roman"/>
      <w:szCs w:val="24"/>
    </w:rPr>
  </w:style>
  <w:style w:type="paragraph" w:styleId="8">
    <w:name w:val="Body Text Indent"/>
    <w:basedOn w:val="1"/>
    <w:link w:val="29"/>
    <w:semiHidden/>
    <w:unhideWhenUsed/>
    <w:qFormat/>
    <w:uiPriority w:val="99"/>
    <w:pPr>
      <w:spacing w:after="120"/>
      <w:ind w:left="420" w:leftChars="200"/>
    </w:pPr>
  </w:style>
  <w:style w:type="paragraph" w:styleId="9">
    <w:name w:val="Date"/>
    <w:basedOn w:val="1"/>
    <w:next w:val="1"/>
    <w:link w:val="26"/>
    <w:semiHidden/>
    <w:unhideWhenUsed/>
    <w:qFormat/>
    <w:uiPriority w:val="99"/>
    <w:pPr>
      <w:ind w:left="100" w:leftChars="2500"/>
    </w:pPr>
  </w:style>
  <w:style w:type="paragraph" w:styleId="10">
    <w:name w:val="Body Text Indent 2"/>
    <w:basedOn w:val="1"/>
    <w:qFormat/>
    <w:uiPriority w:val="0"/>
    <w:pPr>
      <w:spacing w:after="120" w:line="480" w:lineRule="auto"/>
      <w:ind w:left="420" w:leftChars="200"/>
    </w:pPr>
    <w:rPr>
      <w:rFonts w:ascii="宋体"/>
      <w:sz w:val="32"/>
      <w:szCs w:val="22"/>
    </w:rPr>
  </w:style>
  <w:style w:type="paragraph" w:styleId="11">
    <w:name w:val="Balloon Text"/>
    <w:basedOn w:val="1"/>
    <w:link w:val="31"/>
    <w:semiHidden/>
    <w:unhideWhenUsed/>
    <w:qFormat/>
    <w:uiPriority w:val="99"/>
    <w:rPr>
      <w:sz w:val="18"/>
      <w:szCs w:val="18"/>
    </w:rPr>
  </w:style>
  <w:style w:type="paragraph" w:styleId="12">
    <w:name w:val="footer"/>
    <w:basedOn w:val="1"/>
    <w:link w:val="25"/>
    <w:unhideWhenUsed/>
    <w:qFormat/>
    <w:uiPriority w:val="0"/>
    <w:pPr>
      <w:tabs>
        <w:tab w:val="center" w:pos="4153"/>
        <w:tab w:val="right" w:pos="8306"/>
      </w:tabs>
      <w:snapToGrid w:val="0"/>
      <w:jc w:val="left"/>
    </w:pPr>
    <w:rPr>
      <w:sz w:val="18"/>
      <w:szCs w:val="18"/>
    </w:rPr>
  </w:style>
  <w:style w:type="paragraph" w:styleId="13">
    <w:name w:val="header"/>
    <w:basedOn w:val="1"/>
    <w:link w:val="24"/>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Body Text 2"/>
    <w:basedOn w:val="1"/>
    <w:next w:val="1"/>
    <w:qFormat/>
    <w:uiPriority w:val="0"/>
    <w:pPr>
      <w:spacing w:after="120" w:line="480" w:lineRule="auto"/>
    </w:pPr>
    <w:rPr>
      <w:kern w:val="0"/>
      <w:sz w:val="20"/>
      <w:szCs w:val="24"/>
    </w:rPr>
  </w:style>
  <w:style w:type="paragraph" w:styleId="15">
    <w:name w:val="Normal (Web)"/>
    <w:basedOn w:val="1"/>
    <w:unhideWhenUsed/>
    <w:qFormat/>
    <w:uiPriority w:val="0"/>
    <w:pPr>
      <w:widowControl/>
      <w:spacing w:before="100" w:beforeAutospacing="1" w:after="100" w:afterAutospacing="1"/>
      <w:jc w:val="left"/>
    </w:pPr>
    <w:rPr>
      <w:rFonts w:ascii="宋体" w:hAnsi="宋体" w:eastAsia="宋体" w:cs="宋体"/>
      <w:kern w:val="0"/>
      <w:sz w:val="24"/>
      <w:szCs w:val="24"/>
    </w:rPr>
  </w:style>
  <w:style w:type="paragraph" w:styleId="16">
    <w:name w:val="Body Text First Indent 2"/>
    <w:basedOn w:val="8"/>
    <w:link w:val="30"/>
    <w:semiHidden/>
    <w:unhideWhenUsed/>
    <w:qFormat/>
    <w:uiPriority w:val="99"/>
    <w:pPr>
      <w:ind w:firstLine="420" w:firstLineChars="200"/>
    </w:pPr>
  </w:style>
  <w:style w:type="table" w:styleId="18">
    <w:name w:val="Table Grid"/>
    <w:basedOn w:val="17"/>
    <w:semiHidden/>
    <w:unhideWhenUsed/>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0">
    <w:name w:val="Strong"/>
    <w:basedOn w:val="19"/>
    <w:qFormat/>
    <w:uiPriority w:val="0"/>
    <w:rPr>
      <w:b/>
    </w:rPr>
  </w:style>
  <w:style w:type="character" w:styleId="21">
    <w:name w:val="page number"/>
    <w:semiHidden/>
    <w:unhideWhenUsed/>
    <w:qFormat/>
    <w:uiPriority w:val="99"/>
    <w:rPr>
      <w:rFonts w:cs="Times New Roman"/>
    </w:rPr>
  </w:style>
  <w:style w:type="character" w:styleId="22">
    <w:name w:val="Hyperlink"/>
    <w:basedOn w:val="19"/>
    <w:unhideWhenUsed/>
    <w:qFormat/>
    <w:uiPriority w:val="99"/>
    <w:rPr>
      <w:color w:val="0000FF"/>
      <w:u w:val="single"/>
    </w:rPr>
  </w:style>
  <w:style w:type="paragraph" w:customStyle="1" w:styleId="23">
    <w:name w:val="List Paragraph"/>
    <w:basedOn w:val="1"/>
    <w:qFormat/>
    <w:uiPriority w:val="34"/>
    <w:pPr>
      <w:ind w:firstLine="420" w:firstLineChars="200"/>
    </w:pPr>
    <w:rPr>
      <w:rFonts w:ascii="Times New Roman" w:hAnsi="Times New Roman" w:eastAsia="宋体" w:cs="Times New Roman"/>
      <w:szCs w:val="24"/>
    </w:rPr>
  </w:style>
  <w:style w:type="character" w:customStyle="1" w:styleId="24">
    <w:name w:val="页眉 Char"/>
    <w:basedOn w:val="19"/>
    <w:link w:val="13"/>
    <w:semiHidden/>
    <w:qFormat/>
    <w:uiPriority w:val="99"/>
    <w:rPr>
      <w:sz w:val="18"/>
      <w:szCs w:val="18"/>
    </w:rPr>
  </w:style>
  <w:style w:type="character" w:customStyle="1" w:styleId="25">
    <w:name w:val="页脚 Char"/>
    <w:basedOn w:val="19"/>
    <w:link w:val="12"/>
    <w:qFormat/>
    <w:uiPriority w:val="0"/>
    <w:rPr>
      <w:sz w:val="18"/>
      <w:szCs w:val="18"/>
    </w:rPr>
  </w:style>
  <w:style w:type="character" w:customStyle="1" w:styleId="26">
    <w:name w:val="日期 Char"/>
    <w:basedOn w:val="19"/>
    <w:link w:val="9"/>
    <w:semiHidden/>
    <w:qFormat/>
    <w:uiPriority w:val="99"/>
  </w:style>
  <w:style w:type="character" w:customStyle="1" w:styleId="27">
    <w:name w:val="正文文本 Char"/>
    <w:link w:val="2"/>
    <w:qFormat/>
    <w:locked/>
    <w:uiPriority w:val="0"/>
    <w:rPr>
      <w:rFonts w:ascii="Arial" w:hAnsi="Arial" w:eastAsia="黑体"/>
      <w:b/>
      <w:sz w:val="32"/>
    </w:rPr>
  </w:style>
  <w:style w:type="character" w:customStyle="1" w:styleId="28">
    <w:name w:val="正文文本 Char1"/>
    <w:basedOn w:val="19"/>
    <w:link w:val="2"/>
    <w:semiHidden/>
    <w:qFormat/>
    <w:uiPriority w:val="99"/>
  </w:style>
  <w:style w:type="character" w:customStyle="1" w:styleId="29">
    <w:name w:val="正文文本缩进 Char"/>
    <w:basedOn w:val="19"/>
    <w:link w:val="8"/>
    <w:semiHidden/>
    <w:qFormat/>
    <w:uiPriority w:val="99"/>
  </w:style>
  <w:style w:type="character" w:customStyle="1" w:styleId="30">
    <w:name w:val="正文首行缩进 2 Char"/>
    <w:basedOn w:val="29"/>
    <w:link w:val="16"/>
    <w:semiHidden/>
    <w:qFormat/>
    <w:uiPriority w:val="99"/>
  </w:style>
  <w:style w:type="character" w:customStyle="1" w:styleId="31">
    <w:name w:val="批注框文本 Char"/>
    <w:basedOn w:val="19"/>
    <w:link w:val="11"/>
    <w:semiHidden/>
    <w:qFormat/>
    <w:uiPriority w:val="99"/>
    <w:rPr>
      <w:sz w:val="18"/>
      <w:szCs w:val="18"/>
    </w:rPr>
  </w:style>
  <w:style w:type="paragraph" w:customStyle="1" w:styleId="32">
    <w:name w:val="正文_0"/>
    <w:qFormat/>
    <w:uiPriority w:val="0"/>
    <w:pPr>
      <w:widowControl w:val="0"/>
      <w:jc w:val="both"/>
    </w:pPr>
    <w:rPr>
      <w:rFonts w:ascii="Plotter" w:hAnsi="Plotter" w:eastAsia="宋体" w:cs="Plotter"/>
      <w:b/>
      <w:kern w:val="2"/>
      <w:sz w:val="24"/>
      <w:szCs w:val="52"/>
      <w:lang w:val="en-US" w:eastAsia="zh-CN" w:bidi="ar-SA"/>
    </w:rPr>
  </w:style>
  <w:style w:type="paragraph" w:customStyle="1" w:styleId="33">
    <w:name w:val="目录 21"/>
    <w:basedOn w:val="1"/>
    <w:qFormat/>
    <w:uiPriority w:val="0"/>
    <w:pPr>
      <w:ind w:left="420"/>
    </w:pPr>
    <w:rPr>
      <w:rFonts w:eastAsia="仿宋_GB2312"/>
      <w:b/>
      <w:sz w:val="24"/>
    </w:rPr>
  </w:style>
  <w:style w:type="character" w:customStyle="1" w:styleId="34">
    <w:name w:val="标题 1 Char"/>
    <w:basedOn w:val="19"/>
    <w:link w:val="4"/>
    <w:qFormat/>
    <w:uiPriority w:val="0"/>
    <w:rPr>
      <w:rFonts w:ascii="Times New Roman" w:hAnsi="Times New Roman" w:eastAsia="黑体"/>
      <w:b/>
      <w:bCs/>
      <w:kern w:val="44"/>
      <w:sz w:val="30"/>
      <w:szCs w:val="44"/>
    </w:rPr>
  </w:style>
  <w:style w:type="character" w:customStyle="1" w:styleId="35">
    <w:name w:val="font101"/>
    <w:basedOn w:val="19"/>
    <w:qFormat/>
    <w:uiPriority w:val="0"/>
    <w:rPr>
      <w:rFonts w:hint="eastAsia" w:ascii="宋体" w:hAnsi="宋体" w:eastAsia="宋体" w:cs="宋体"/>
      <w:color w:val="FF0000"/>
      <w:sz w:val="20"/>
      <w:szCs w:val="20"/>
      <w:u w:val="none"/>
    </w:rPr>
  </w:style>
  <w:style w:type="paragraph" w:customStyle="1" w:styleId="36">
    <w:name w:val="节标题"/>
    <w:basedOn w:val="1"/>
    <w:next w:val="1"/>
    <w:qFormat/>
    <w:uiPriority w:val="0"/>
    <w:pPr>
      <w:widowControl/>
      <w:spacing w:line="289" w:lineRule="atLeast"/>
      <w:jc w:val="center"/>
      <w:textAlignment w:val="baseline"/>
    </w:pPr>
    <w:rPr>
      <w:color w:val="000000"/>
      <w:kern w:val="0"/>
      <w:sz w:val="28"/>
    </w:rPr>
  </w:style>
  <w:style w:type="paragraph" w:customStyle="1" w:styleId="37">
    <w:name w:val="p0"/>
    <w:basedOn w:val="1"/>
    <w:qFormat/>
    <w:uiPriority w:val="0"/>
    <w:pPr>
      <w:widowControl/>
    </w:pPr>
    <w:rPr>
      <w:rFonts w:cs="宋体"/>
      <w:kern w:val="0"/>
    </w:rPr>
  </w:style>
  <w:style w:type="paragraph" w:customStyle="1" w:styleId="38">
    <w:name w:val="列出段落1"/>
    <w:basedOn w:val="1"/>
    <w:qFormat/>
    <w:uiPriority w:val="0"/>
    <w:pPr>
      <w:widowControl/>
      <w:adjustRightInd w:val="0"/>
      <w:snapToGrid w:val="0"/>
      <w:spacing w:after="200" w:afterLines="0"/>
      <w:ind w:firstLine="420" w:firstLineChars="200"/>
      <w:jc w:val="left"/>
    </w:pPr>
    <w:rPr>
      <w:rFonts w:ascii="Tahoma" w:hAnsi="Tahoma" w:eastAsia="微软雅黑"/>
      <w:kern w:val="0"/>
      <w:sz w:val="22"/>
      <w:szCs w:val="22"/>
    </w:rPr>
  </w:style>
  <w:style w:type="paragraph" w:customStyle="1" w:styleId="39">
    <w:name w:val="哈哈正文"/>
    <w:basedOn w:val="1"/>
    <w:qFormat/>
    <w:uiPriority w:val="0"/>
    <w:pPr>
      <w:widowControl/>
      <w:spacing w:before="119" w:line="360" w:lineRule="auto"/>
      <w:ind w:left="567" w:firstLine="420" w:firstLineChars="232"/>
    </w:pPr>
    <w:rPr>
      <w:rFonts w:ascii="宋体" w:hAnsi="宋体"/>
      <w:sz w:val="24"/>
      <w:szCs w:val="20"/>
    </w:rPr>
  </w:style>
  <w:style w:type="paragraph" w:customStyle="1" w:styleId="40">
    <w:name w:val="列表段落1"/>
    <w:basedOn w:val="1"/>
    <w:qFormat/>
    <w:uiPriority w:val="34"/>
    <w:pPr>
      <w:ind w:firstLine="420" w:firstLineChars="200"/>
    </w:pPr>
  </w:style>
  <w:style w:type="paragraph" w:customStyle="1" w:styleId="41">
    <w:name w:val="标准正文样式"/>
    <w:basedOn w:val="1"/>
    <w:qFormat/>
    <w:uiPriority w:val="0"/>
    <w:pPr>
      <w:widowControl/>
      <w:spacing w:line="360" w:lineRule="auto"/>
      <w:ind w:firstLine="200" w:firstLineChars="200"/>
      <w:jc w:val="left"/>
    </w:pPr>
    <w:rPr>
      <w:sz w:val="24"/>
    </w:rPr>
  </w:style>
  <w:style w:type="paragraph" w:customStyle="1" w:styleId="42">
    <w:name w:val="_正文段落"/>
    <w:basedOn w:val="43"/>
    <w:qFormat/>
    <w:uiPriority w:val="0"/>
    <w:pPr>
      <w:widowControl w:val="0"/>
      <w:spacing w:beforeLines="15" w:afterLines="15" w:line="360" w:lineRule="auto"/>
      <w:ind w:firstLine="480" w:firstLineChars="200"/>
      <w:jc w:val="both"/>
    </w:pPr>
    <w:rPr>
      <w:rFonts w:hAnsi="宋体"/>
      <w:sz w:val="24"/>
      <w:szCs w:val="24"/>
    </w:rPr>
  </w:style>
  <w:style w:type="paragraph" w:customStyle="1" w:styleId="43">
    <w:name w:val="纯文本1"/>
    <w:basedOn w:val="1"/>
    <w:qFormat/>
    <w:uiPriority w:val="0"/>
    <w:pPr>
      <w:widowControl/>
      <w:jc w:val="left"/>
    </w:pPr>
    <w:rPr>
      <w:rFonts w:ascii="宋体" w:hAnsi="Courier New"/>
      <w:kern w:val="0"/>
      <w:sz w:val="20"/>
    </w:rPr>
  </w:style>
  <w:style w:type="character" w:customStyle="1" w:styleId="44">
    <w:name w:val="font11"/>
    <w:basedOn w:val="19"/>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10</Pages>
  <Words>3609</Words>
  <Characters>3677</Characters>
  <Lines>6</Lines>
  <Paragraphs>1</Paragraphs>
  <TotalTime>0</TotalTime>
  <ScaleCrop>false</ScaleCrop>
  <LinksUpToDate>false</LinksUpToDate>
  <CharactersWithSpaces>3699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2020-09-28T00:44:00Z</dcterms:created>
  <dc:creator>Administrator</dc:creator>
  <cp:lastModifiedBy>能能</cp:lastModifiedBy>
  <cp:lastPrinted>2024-08-02T08:38:00Z</cp:lastPrinted>
  <dcterms:modified xsi:type="dcterms:W3CDTF">2025-12-05T09:33:58Z</dcterms:modified>
  <dc:title>马鞍山市中医院</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5454054EEDDD420495B91241D8CDEB4A</vt:lpwstr>
  </property>
  <property fmtid="{D5CDD505-2E9C-101B-9397-08002B2CF9AE}" pid="4" name="KSOTemplateDocerSaveRecord">
    <vt:lpwstr>eyJoZGlkIjoiNjVjOGUxODk1YzY2NTUxMWVjNzRmZDgxYTIzNjVjOGQiLCJ1c2VySWQiOiI1NTUzMTQ2MDYifQ==</vt:lpwstr>
  </property>
</Properties>
</file>