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E33D">
      <w:pPr>
        <w:tabs>
          <w:tab w:val="left" w:pos="1050"/>
        </w:tabs>
        <w:spacing w:line="460" w:lineRule="exact"/>
        <w:jc w:val="center"/>
        <w:outlineLvl w:val="2"/>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马鞍山市中医院网络安全设备维保服务项目内容及相关要求</w:t>
      </w:r>
    </w:p>
    <w:p w14:paraId="5A35B2E7">
      <w:pPr>
        <w:tabs>
          <w:tab w:val="left" w:pos="1050"/>
        </w:tabs>
        <w:spacing w:line="460" w:lineRule="exact"/>
        <w:jc w:val="center"/>
        <w:outlineLvl w:val="2"/>
        <w:rPr>
          <w:rFonts w:hint="eastAsia" w:ascii="仿宋" w:hAnsi="仿宋" w:eastAsia="仿宋" w:cs="仿宋"/>
          <w:b/>
          <w:bCs w:val="0"/>
          <w:color w:val="FF0000"/>
          <w:kern w:val="2"/>
          <w:sz w:val="28"/>
          <w:szCs w:val="28"/>
          <w:highlight w:val="yellow"/>
          <w:lang w:val="en-US" w:eastAsia="zh-CN" w:bidi="ar-SA"/>
        </w:rPr>
      </w:pPr>
      <w:r>
        <w:rPr>
          <w:rFonts w:hint="eastAsia" w:ascii="仿宋" w:hAnsi="仿宋" w:eastAsia="仿宋" w:cs="仿宋"/>
          <w:b/>
          <w:bCs w:val="0"/>
          <w:color w:val="FF0000"/>
          <w:kern w:val="2"/>
          <w:sz w:val="28"/>
          <w:szCs w:val="28"/>
          <w:highlight w:val="yellow"/>
          <w:lang w:val="en-US" w:eastAsia="zh-CN" w:bidi="ar-SA"/>
        </w:rPr>
        <w:t>（本项目要求为不允许负偏离的实质性要求和条件）</w:t>
      </w:r>
    </w:p>
    <w:p w14:paraId="1E59856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仿宋" w:hAnsi="仿宋" w:eastAsia="仿宋" w:cs="仿宋"/>
          <w:b/>
          <w:kern w:val="2"/>
          <w:sz w:val="28"/>
          <w:szCs w:val="28"/>
          <w:lang w:val="en-US" w:eastAsia="zh-CN" w:bidi="ar-SA"/>
        </w:rPr>
      </w:pPr>
    </w:p>
    <w:p w14:paraId="14C7A702">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一、采购预算</w:t>
      </w:r>
    </w:p>
    <w:p w14:paraId="35FAEC5E">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预算金额（人民币）：</w:t>
      </w:r>
      <w:r>
        <w:rPr>
          <w:rFonts w:hint="eastAsia" w:ascii="仿宋" w:hAnsi="仿宋" w:eastAsia="仿宋" w:cs="仿宋"/>
          <w:b/>
          <w:bCs w:val="0"/>
          <w:sz w:val="24"/>
          <w:szCs w:val="24"/>
          <w:u w:val="single"/>
          <w:lang w:val="en-US" w:eastAsia="zh-CN"/>
        </w:rPr>
        <w:t xml:space="preserve"> 9 </w:t>
      </w:r>
      <w:r>
        <w:rPr>
          <w:rFonts w:hint="eastAsia" w:ascii="仿宋" w:hAnsi="仿宋" w:eastAsia="仿宋" w:cs="仿宋"/>
          <w:b/>
          <w:bCs w:val="0"/>
          <w:sz w:val="24"/>
          <w:szCs w:val="24"/>
          <w:lang w:val="en-US" w:eastAsia="zh-CN"/>
        </w:rPr>
        <w:t>万元；最高限价（人民币）：</w:t>
      </w:r>
      <w:r>
        <w:rPr>
          <w:rFonts w:hint="eastAsia" w:ascii="仿宋" w:hAnsi="仿宋" w:eastAsia="仿宋" w:cs="仿宋"/>
          <w:b/>
          <w:bCs w:val="0"/>
          <w:sz w:val="24"/>
          <w:szCs w:val="24"/>
          <w:u w:val="single"/>
          <w:lang w:val="en-US" w:eastAsia="zh-CN"/>
        </w:rPr>
        <w:t xml:space="preserve"> 9 </w:t>
      </w:r>
      <w:r>
        <w:rPr>
          <w:rFonts w:hint="eastAsia" w:ascii="仿宋" w:hAnsi="仿宋" w:eastAsia="仿宋" w:cs="仿宋"/>
          <w:b/>
          <w:bCs w:val="0"/>
          <w:sz w:val="24"/>
          <w:szCs w:val="24"/>
          <w:lang w:val="en-US" w:eastAsia="zh-CN"/>
        </w:rPr>
        <w:t>万元。</w:t>
      </w:r>
    </w:p>
    <w:p w14:paraId="124D0D30">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bookmarkStart w:id="0" w:name="_Toc26868"/>
      <w:r>
        <w:rPr>
          <w:rFonts w:hint="eastAsia" w:ascii="仿宋" w:hAnsi="仿宋" w:eastAsia="仿宋" w:cs="仿宋"/>
          <w:b/>
          <w:bCs w:val="0"/>
          <w:sz w:val="24"/>
          <w:szCs w:val="24"/>
          <w:lang w:val="en-US" w:eastAsia="zh-CN"/>
        </w:rPr>
        <w:t>二、采购内容及相关要求</w:t>
      </w:r>
    </w:p>
    <w:p w14:paraId="312F6536">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 xml:space="preserve">        （一）采购清单</w:t>
      </w:r>
    </w:p>
    <w:tbl>
      <w:tblPr>
        <w:tblStyle w:val="17"/>
        <w:tblW w:w="852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5489"/>
        <w:gridCol w:w="1519"/>
        <w:gridCol w:w="1520"/>
      </w:tblGrid>
      <w:tr w14:paraId="7443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trPr>
        <w:tc>
          <w:tcPr>
            <w:tcW w:w="5489" w:type="dxa"/>
            <w:noWrap/>
            <w:vAlign w:val="center"/>
          </w:tcPr>
          <w:p w14:paraId="38FEBBA0">
            <w:pPr>
              <w:pageBreakBefore w:val="0"/>
              <w:kinsoku/>
              <w:wordWrap/>
              <w:topLinePunct w:val="0"/>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eastAsia="zh-CN"/>
              </w:rPr>
              <w:t>服务名称（标的名称）</w:t>
            </w:r>
          </w:p>
        </w:tc>
        <w:tc>
          <w:tcPr>
            <w:tcW w:w="1519" w:type="dxa"/>
            <w:noWrap/>
            <w:vAlign w:val="center"/>
          </w:tcPr>
          <w:p w14:paraId="77E5C572">
            <w:pPr>
              <w:pageBreakBefore w:val="0"/>
              <w:kinsoku/>
              <w:wordWrap/>
              <w:topLinePunct w:val="0"/>
              <w:bidi w:val="0"/>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bCs/>
                <w:sz w:val="24"/>
                <w:szCs w:val="24"/>
                <w:lang w:val="en-US" w:eastAsia="zh-CN"/>
              </w:rPr>
            </w:pPr>
            <w:r>
              <w:rPr>
                <w:rFonts w:hint="eastAsia" w:ascii="仿宋" w:hAnsi="仿宋" w:eastAsia="仿宋" w:cs="仿宋"/>
                <w:b/>
                <w:sz w:val="24"/>
                <w:szCs w:val="24"/>
                <w:lang w:eastAsia="zh-CN"/>
              </w:rPr>
              <w:t>数量</w:t>
            </w:r>
          </w:p>
        </w:tc>
        <w:tc>
          <w:tcPr>
            <w:tcW w:w="1520" w:type="dxa"/>
            <w:noWrap/>
            <w:vAlign w:val="center"/>
          </w:tcPr>
          <w:p w14:paraId="1CBC8EE8">
            <w:pPr>
              <w:pageBreakBefore w:val="0"/>
              <w:kinsoku/>
              <w:wordWrap/>
              <w:topLinePunct w:val="0"/>
              <w:bidi w:val="0"/>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bCs/>
                <w:sz w:val="24"/>
                <w:szCs w:val="24"/>
                <w:lang w:val="en-US" w:eastAsia="zh-CN"/>
              </w:rPr>
            </w:pPr>
            <w:r>
              <w:rPr>
                <w:rFonts w:hint="eastAsia" w:ascii="仿宋" w:hAnsi="仿宋" w:eastAsia="仿宋" w:cs="仿宋"/>
                <w:b/>
                <w:sz w:val="24"/>
                <w:szCs w:val="24"/>
                <w:lang w:eastAsia="zh-CN"/>
              </w:rPr>
              <w:t>单位</w:t>
            </w:r>
          </w:p>
        </w:tc>
      </w:tr>
      <w:tr w14:paraId="2E48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5489" w:type="dxa"/>
            <w:shd w:val="clear" w:color="auto" w:fill="FFFFFF"/>
            <w:noWrap/>
            <w:vAlign w:val="center"/>
          </w:tcPr>
          <w:p w14:paraId="41B0D9A8">
            <w:pPr>
              <w:pStyle w:val="6"/>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4"/>
                <w:lang w:eastAsia="zh-CN"/>
              </w:rPr>
              <w:t>网络安全设备维保服务</w:t>
            </w:r>
          </w:p>
        </w:tc>
        <w:tc>
          <w:tcPr>
            <w:tcW w:w="1519" w:type="dxa"/>
            <w:noWrap/>
            <w:vAlign w:val="center"/>
          </w:tcPr>
          <w:p w14:paraId="2BEADF68">
            <w:pPr>
              <w:pStyle w:val="6"/>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1</w:t>
            </w:r>
          </w:p>
        </w:tc>
        <w:tc>
          <w:tcPr>
            <w:tcW w:w="1520" w:type="dxa"/>
            <w:noWrap/>
            <w:vAlign w:val="center"/>
          </w:tcPr>
          <w:p w14:paraId="214C1AF6">
            <w:pPr>
              <w:pStyle w:val="6"/>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项</w:t>
            </w:r>
          </w:p>
        </w:tc>
      </w:tr>
    </w:tbl>
    <w:p w14:paraId="26B59880">
      <w:pPr>
        <w:jc w:val="both"/>
        <w:rPr>
          <w:rFonts w:hint="eastAsia" w:asciiTheme="minorEastAsia" w:hAnsiTheme="minorEastAsia" w:eastAsiaTheme="minorEastAsia" w:cstheme="minorEastAsia"/>
          <w:b/>
          <w:color w:val="000000"/>
          <w:sz w:val="24"/>
          <w:szCs w:val="24"/>
          <w:lang w:val="en-US" w:eastAsia="zh-CN"/>
        </w:rPr>
      </w:pPr>
    </w:p>
    <w:p w14:paraId="1C4F26DF">
      <w:pPr>
        <w:jc w:val="center"/>
        <w:rPr>
          <w:rFonts w:hint="eastAsia" w:asciiTheme="minorEastAsia" w:hAnsiTheme="minorEastAsia" w:eastAsiaTheme="minorEastAsia" w:cstheme="minorEastAsia"/>
          <w:b/>
          <w:color w:val="000000"/>
          <w:sz w:val="24"/>
          <w:szCs w:val="24"/>
          <w:lang w:val="en-US" w:eastAsia="zh-CN"/>
        </w:rPr>
      </w:pPr>
    </w:p>
    <w:p w14:paraId="7BCAF646">
      <w:pPr>
        <w:spacing w:line="340" w:lineRule="exact"/>
        <w:ind w:firstLine="480" w:firstLineChars="200"/>
        <w:rPr>
          <w:rFonts w:hint="eastAsia" w:asciiTheme="minorEastAsia" w:hAnsiTheme="minorEastAsia" w:eastAsiaTheme="minorEastAsia" w:cstheme="minorEastAsia"/>
          <w:b w:val="0"/>
          <w:bCs w:val="0"/>
          <w:sz w:val="24"/>
          <w:szCs w:val="24"/>
          <w:lang w:val="en-US" w:eastAsia="zh-CN"/>
        </w:rPr>
      </w:pPr>
    </w:p>
    <w:p w14:paraId="6C238AF4">
      <w:pPr>
        <w:jc w:val="center"/>
        <w:rPr>
          <w:rFonts w:hint="eastAsia" w:ascii="仿宋" w:hAnsi="仿宋" w:eastAsia="仿宋" w:cs="仿宋"/>
          <w:b/>
          <w:bCs w:val="0"/>
          <w:sz w:val="24"/>
          <w:szCs w:val="24"/>
          <w:lang w:val="en-US" w:eastAsia="zh-CN"/>
        </w:rPr>
      </w:pPr>
      <w:r>
        <w:rPr>
          <w:rFonts w:hint="eastAsia" w:asciiTheme="minorEastAsia" w:hAnsiTheme="minorEastAsia" w:eastAsiaTheme="minorEastAsia" w:cstheme="minorEastAsia"/>
          <w:b/>
          <w:color w:val="000000"/>
          <w:sz w:val="24"/>
          <w:szCs w:val="24"/>
          <w:lang w:val="en-US" w:eastAsia="zh-CN"/>
        </w:rPr>
        <w:t xml:space="preserve"> </w:t>
      </w:r>
      <w:r>
        <w:rPr>
          <w:rFonts w:hint="eastAsia" w:ascii="仿宋" w:hAnsi="仿宋" w:eastAsia="仿宋" w:cs="仿宋"/>
          <w:b/>
          <w:bCs w:val="0"/>
          <w:sz w:val="24"/>
          <w:szCs w:val="24"/>
          <w:lang w:val="en-US" w:eastAsia="zh-CN"/>
        </w:rPr>
        <w:t xml:space="preserve">      （二）服务内容</w:t>
      </w:r>
    </w:p>
    <w:p w14:paraId="32309112">
      <w:pPr>
        <w:spacing w:line="520" w:lineRule="exact"/>
        <w:rPr>
          <w:rFonts w:hint="eastAsia" w:ascii="仿宋" w:hAnsi="仿宋" w:eastAsia="仿宋" w:cs="仿宋"/>
          <w:b/>
          <w:bCs/>
          <w:kern w:val="2"/>
          <w:sz w:val="24"/>
          <w:szCs w:val="24"/>
          <w:lang w:val="en-US" w:eastAsia="zh-CN" w:bidi="ar-SA"/>
        </w:rPr>
      </w:pPr>
      <w:bookmarkStart w:id="1" w:name="_Toc208416084"/>
      <w:r>
        <w:rPr>
          <w:rFonts w:hint="eastAsia" w:ascii="仿宋" w:hAnsi="仿宋" w:eastAsia="仿宋" w:cs="仿宋"/>
          <w:b/>
          <w:bCs/>
          <w:kern w:val="2"/>
          <w:sz w:val="24"/>
          <w:szCs w:val="24"/>
          <w:lang w:val="en-US" w:eastAsia="zh-CN" w:bidi="ar-SA"/>
        </w:rPr>
        <w:t>一、项目背景：</w:t>
      </w:r>
    </w:p>
    <w:p w14:paraId="754587C5">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CN" w:eastAsia="zh-CN" w:bidi="ar-SA"/>
        </w:rPr>
        <w:t>马鞍山市中医院网络的安全防护类设备上线已近四年，目前已过维保期，存在故障和损坏风险。同时按照网络安全三级等保要求，网络安全设备的特征识别库必需要保持最新状态，该批设备的特征库更新授权已过期，特征库过期会造成设备无法对新出现的安全漏洞和病毒进行识别，影响院内网络安全。此次采购的安全设备维保服务主要包括设备本身的硬件维保和特征库的更新。</w:t>
      </w:r>
      <w:bookmarkEnd w:id="1"/>
      <w:r>
        <w:rPr>
          <w:rFonts w:hint="eastAsia" w:ascii="仿宋" w:hAnsi="仿宋" w:eastAsia="仿宋" w:cs="仿宋"/>
          <w:kern w:val="2"/>
          <w:sz w:val="24"/>
          <w:szCs w:val="24"/>
          <w:lang w:val="en-US" w:eastAsia="zh-CN" w:bidi="ar-SA"/>
        </w:rPr>
        <w:t xml:space="preserve">  </w:t>
      </w:r>
    </w:p>
    <w:p w14:paraId="6719F1C2">
      <w:pPr>
        <w:rPr>
          <w:rFonts w:hint="eastAsia" w:ascii="仿宋" w:hAnsi="仿宋" w:eastAsia="仿宋" w:cs="仿宋"/>
          <w:b/>
          <w:bCs/>
          <w:sz w:val="24"/>
          <w:szCs w:val="24"/>
          <w:lang w:val="en-US" w:eastAsia="zh-CN"/>
        </w:rPr>
      </w:pPr>
    </w:p>
    <w:p w14:paraId="7E25A2A4">
      <w:pPr>
        <w:spacing w:line="520" w:lineRule="exac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二、项目运维设备清单：</w:t>
      </w:r>
    </w:p>
    <w:tbl>
      <w:tblPr>
        <w:tblStyle w:val="17"/>
        <w:tblW w:w="9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6"/>
        <w:gridCol w:w="2616"/>
        <w:gridCol w:w="817"/>
        <w:gridCol w:w="817"/>
        <w:gridCol w:w="1056"/>
        <w:gridCol w:w="2136"/>
      </w:tblGrid>
      <w:tr w14:paraId="09E3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896" w:type="dxa"/>
            <w:tcBorders>
              <w:top w:val="single" w:color="auto" w:sz="12" w:space="0"/>
              <w:left w:val="single" w:color="auto" w:sz="12" w:space="0"/>
              <w:bottom w:val="single" w:color="auto" w:sz="4" w:space="0"/>
              <w:right w:val="single" w:color="auto" w:sz="4" w:space="0"/>
            </w:tcBorders>
            <w:shd w:val="clear" w:color="auto" w:fill="auto"/>
            <w:vAlign w:val="center"/>
          </w:tcPr>
          <w:p w14:paraId="5CBE40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类型</w:t>
            </w:r>
          </w:p>
        </w:tc>
        <w:tc>
          <w:tcPr>
            <w:tcW w:w="2616" w:type="dxa"/>
            <w:tcBorders>
              <w:top w:val="single" w:color="auto" w:sz="12" w:space="0"/>
              <w:left w:val="single" w:color="auto" w:sz="4" w:space="0"/>
              <w:bottom w:val="single" w:color="auto" w:sz="4" w:space="0"/>
              <w:right w:val="single" w:color="auto" w:sz="4" w:space="0"/>
            </w:tcBorders>
            <w:shd w:val="clear" w:color="auto" w:fill="auto"/>
            <w:vAlign w:val="center"/>
          </w:tcPr>
          <w:p w14:paraId="277C5898">
            <w:pPr>
              <w:snapToGrid w:val="0"/>
              <w:ind w:left="0" w:leftChars="0" w:right="0" w:rightChars="0" w:firstLine="0" w:firstLine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型号</w:t>
            </w:r>
          </w:p>
        </w:tc>
        <w:tc>
          <w:tcPr>
            <w:tcW w:w="817" w:type="dxa"/>
            <w:tcBorders>
              <w:top w:val="single" w:color="auto" w:sz="12" w:space="0"/>
              <w:left w:val="single" w:color="auto" w:sz="4" w:space="0"/>
              <w:bottom w:val="single" w:color="auto" w:sz="4" w:space="0"/>
              <w:right w:val="single" w:color="auto" w:sz="4" w:space="0"/>
            </w:tcBorders>
            <w:shd w:val="clear" w:color="auto" w:fill="auto"/>
            <w:vAlign w:val="center"/>
          </w:tcPr>
          <w:p w14:paraId="7C114B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单位</w:t>
            </w:r>
          </w:p>
        </w:tc>
        <w:tc>
          <w:tcPr>
            <w:tcW w:w="817" w:type="dxa"/>
            <w:tcBorders>
              <w:top w:val="single" w:color="auto" w:sz="12" w:space="0"/>
              <w:left w:val="single" w:color="auto" w:sz="4" w:space="0"/>
              <w:bottom w:val="single" w:color="auto" w:sz="4" w:space="0"/>
              <w:right w:val="single" w:color="auto" w:sz="4" w:space="0"/>
            </w:tcBorders>
            <w:shd w:val="clear" w:color="auto" w:fill="auto"/>
            <w:vAlign w:val="center"/>
          </w:tcPr>
          <w:p w14:paraId="28620D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数量</w:t>
            </w:r>
          </w:p>
        </w:tc>
        <w:tc>
          <w:tcPr>
            <w:tcW w:w="1056" w:type="dxa"/>
            <w:tcBorders>
              <w:top w:val="single" w:color="auto" w:sz="12" w:space="0"/>
              <w:left w:val="single" w:color="auto" w:sz="4" w:space="0"/>
              <w:bottom w:val="single" w:color="auto" w:sz="4" w:space="0"/>
              <w:right w:val="single" w:color="auto" w:sz="4" w:space="0"/>
            </w:tcBorders>
            <w:shd w:val="clear" w:color="auto" w:fill="auto"/>
            <w:vAlign w:val="center"/>
          </w:tcPr>
          <w:p w14:paraId="0FCE9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品牌</w:t>
            </w:r>
          </w:p>
        </w:tc>
        <w:tc>
          <w:tcPr>
            <w:tcW w:w="2136" w:type="dxa"/>
            <w:tcBorders>
              <w:top w:val="single" w:color="auto" w:sz="12" w:space="0"/>
              <w:left w:val="single" w:color="auto" w:sz="4" w:space="0"/>
              <w:bottom w:val="single" w:color="auto" w:sz="4" w:space="0"/>
              <w:right w:val="single" w:color="auto" w:sz="12" w:space="0"/>
            </w:tcBorders>
            <w:shd w:val="clear" w:color="auto" w:fill="auto"/>
            <w:vAlign w:val="center"/>
          </w:tcPr>
          <w:p w14:paraId="59F905C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备注</w:t>
            </w:r>
          </w:p>
        </w:tc>
      </w:tr>
      <w:tr w14:paraId="66AD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22BA140F">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深信服准入</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2420B157">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WAZCAD0058</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1F55590">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FD3E763">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F46D3">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深信服</w:t>
            </w:r>
          </w:p>
        </w:tc>
        <w:tc>
          <w:tcPr>
            <w:tcW w:w="21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0305FEA">
            <w:pPr>
              <w:snapToGrid w:val="0"/>
              <w:ind w:left="0" w:leftChars="0" w:right="0" w:rightChars="0" w:firstLine="0" w:firstLineChars="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含特征库授权</w:t>
            </w:r>
          </w:p>
        </w:tc>
      </w:tr>
      <w:tr w14:paraId="0872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146CCE14">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数据中心防火-A</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69BAA13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Q2110489520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1593717">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00E30FE">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BD3E7">
            <w:pPr>
              <w:snapToGrid w:val="0"/>
              <w:ind w:left="0" w:leftChars="0" w:right="0" w:rightChars="0" w:firstLine="0" w:firstLineChars="0"/>
              <w:jc w:val="center"/>
              <w:rPr>
                <w:rFonts w:hint="default"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B9B5ACA">
            <w:pPr>
              <w:snapToGrid w:val="0"/>
              <w:ind w:left="0" w:leftChars="0" w:right="0" w:rightChars="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含特征库授权</w:t>
            </w:r>
          </w:p>
        </w:tc>
      </w:tr>
      <w:tr w14:paraId="6D7D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57F977CE">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数据中心防火-B</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1B7A85E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Q2110489499</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8BC856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1CE7048">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5130F">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3B45CC4">
            <w:pPr>
              <w:snapToGrid w:val="0"/>
              <w:ind w:left="0" w:leftChars="0" w:right="0" w:rightChars="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含特征库授权</w:t>
            </w:r>
          </w:p>
        </w:tc>
      </w:tr>
      <w:tr w14:paraId="5A1A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3C332F59">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堡垒机</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36B4BF94">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Q2111892032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DEB86DB">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1C0FE7F">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502F22A">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vAlign w:val="center"/>
          </w:tcPr>
          <w:p w14:paraId="436549A2">
            <w:pPr>
              <w:snapToGrid w:val="0"/>
              <w:ind w:left="0" w:leftChars="0" w:right="0" w:rightChars="0" w:firstLine="0" w:firstLineChars="0"/>
              <w:jc w:val="center"/>
              <w:rPr>
                <w:rFonts w:hint="eastAsia" w:ascii="仿宋" w:hAnsi="仿宋" w:eastAsia="仿宋" w:cs="仿宋"/>
                <w:b w:val="0"/>
                <w:bCs w:val="0"/>
                <w:sz w:val="24"/>
                <w:szCs w:val="24"/>
                <w:lang w:val="en-US" w:eastAsia="zh-CN"/>
              </w:rPr>
            </w:pPr>
          </w:p>
        </w:tc>
      </w:tr>
      <w:tr w14:paraId="7565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3F1A0167">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数据库审计</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69F97961">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Q2109256492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D99FC51">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8520F53">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2ED748F">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vAlign w:val="center"/>
          </w:tcPr>
          <w:p w14:paraId="17C1C0AB">
            <w:pPr>
              <w:snapToGrid w:val="0"/>
              <w:ind w:left="0" w:leftChars="0" w:right="0" w:rightChars="0" w:firstLine="0" w:firstLineChars="0"/>
              <w:jc w:val="center"/>
              <w:rPr>
                <w:rFonts w:hint="eastAsia" w:ascii="仿宋" w:hAnsi="仿宋" w:eastAsia="仿宋" w:cs="仿宋"/>
                <w:b w:val="0"/>
                <w:bCs w:val="0"/>
                <w:sz w:val="24"/>
                <w:szCs w:val="24"/>
                <w:lang w:val="en-US" w:eastAsia="zh-CN"/>
              </w:rPr>
            </w:pPr>
          </w:p>
        </w:tc>
      </w:tr>
      <w:tr w14:paraId="5965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071CD430">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日志审计</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099EC38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Q2112936002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21C3635">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8EDBFAB">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170A16E">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vAlign w:val="center"/>
          </w:tcPr>
          <w:p w14:paraId="199A2BD1">
            <w:pPr>
              <w:snapToGrid w:val="0"/>
              <w:ind w:left="0" w:leftChars="0" w:right="0" w:rightChars="0" w:firstLine="0" w:firstLineChars="0"/>
              <w:jc w:val="center"/>
              <w:rPr>
                <w:rFonts w:hint="eastAsia" w:ascii="仿宋" w:hAnsi="仿宋" w:eastAsia="仿宋" w:cs="仿宋"/>
                <w:b w:val="0"/>
                <w:bCs w:val="0"/>
                <w:sz w:val="24"/>
                <w:szCs w:val="24"/>
                <w:lang w:val="en-US" w:eastAsia="zh-CN"/>
              </w:rPr>
            </w:pPr>
          </w:p>
        </w:tc>
      </w:tr>
      <w:tr w14:paraId="76AC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566AE8B2">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内网外联防火墙-A</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75245A90">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Q2109347603</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BFBCBE1">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85AD95A">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B9E19">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D66D2EC">
            <w:pPr>
              <w:snapToGrid w:val="0"/>
              <w:ind w:left="0" w:leftChars="0" w:right="0" w:rightChars="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含特征库授权</w:t>
            </w:r>
          </w:p>
        </w:tc>
      </w:tr>
      <w:tr w14:paraId="3D73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74C76830">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内网外联防火墙-B</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55A92F3E">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Q2109347584</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173E5F3">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6D92BF0">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2C335">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E16BD8A">
            <w:pPr>
              <w:snapToGrid w:val="0"/>
              <w:ind w:left="0" w:leftChars="0" w:right="0" w:rightChars="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含特征库授权</w:t>
            </w:r>
          </w:p>
        </w:tc>
      </w:tr>
      <w:tr w14:paraId="139C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4C2E9CEF">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网闸</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5AE8091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Q2202246135</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822E913">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EDC0488">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658C187">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vAlign w:val="center"/>
          </w:tcPr>
          <w:p w14:paraId="3FA2F0E1">
            <w:pPr>
              <w:snapToGrid w:val="0"/>
              <w:ind w:left="0" w:leftChars="0" w:right="0" w:rightChars="0" w:firstLine="0" w:firstLineChars="0"/>
              <w:jc w:val="center"/>
              <w:rPr>
                <w:rFonts w:hint="eastAsia" w:ascii="仿宋" w:hAnsi="仿宋" w:eastAsia="仿宋" w:cs="仿宋"/>
                <w:b w:val="0"/>
                <w:bCs w:val="0"/>
                <w:sz w:val="24"/>
                <w:szCs w:val="24"/>
                <w:lang w:val="en-US" w:eastAsia="zh-CN"/>
              </w:rPr>
            </w:pPr>
          </w:p>
        </w:tc>
      </w:tr>
      <w:tr w14:paraId="2EBB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7F1A7819">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备份一体机</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7AB51706">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UXTME20208-HW2202003</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821371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D1EEE75">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C7D5D8D">
            <w:pPr>
              <w:snapToGrid w:val="0"/>
              <w:ind w:left="0" w:leftChars="0" w:right="0" w:rightChars="0" w:firstLine="0" w:firstLineChars="0"/>
              <w:jc w:val="center"/>
              <w:rPr>
                <w:rFonts w:hint="default"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vAlign w:val="center"/>
          </w:tcPr>
          <w:p w14:paraId="28ABA25A">
            <w:pPr>
              <w:snapToGrid w:val="0"/>
              <w:ind w:left="0" w:leftChars="0" w:right="0" w:rightChars="0" w:firstLine="0" w:firstLineChars="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目前有一块7.2TSAS硬盘健康度报警</w:t>
            </w:r>
          </w:p>
        </w:tc>
      </w:tr>
      <w:tr w14:paraId="5C46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78D8629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虚拟化防火墙</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361A7141">
            <w:pPr>
              <w:snapToGrid w:val="0"/>
              <w:ind w:left="0" w:leftChars="0" w:right="0" w:rightChars="0" w:firstLine="0" w:firstLineChars="0"/>
              <w:jc w:val="center"/>
              <w:rPr>
                <w:rFonts w:hint="eastAsia" w:ascii="仿宋" w:hAnsi="仿宋" w:eastAsia="仿宋" w:cs="仿宋"/>
                <w:b w:val="0"/>
                <w:bCs w:val="0"/>
                <w:sz w:val="24"/>
                <w:szCs w:val="24"/>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C268A63">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套</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DAA0CC3">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459C554">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vAlign w:val="center"/>
          </w:tcPr>
          <w:p w14:paraId="78721988">
            <w:pPr>
              <w:snapToGrid w:val="0"/>
              <w:ind w:left="0" w:leftChars="0" w:right="0" w:rightChars="0" w:firstLine="0" w:firstLineChars="0"/>
              <w:jc w:val="center"/>
              <w:rPr>
                <w:rFonts w:hint="eastAsia" w:ascii="仿宋" w:hAnsi="仿宋" w:eastAsia="仿宋" w:cs="仿宋"/>
                <w:b w:val="0"/>
                <w:bCs w:val="0"/>
                <w:sz w:val="24"/>
                <w:szCs w:val="24"/>
                <w:lang w:val="en-US" w:eastAsia="zh-CN"/>
              </w:rPr>
            </w:pPr>
          </w:p>
        </w:tc>
      </w:tr>
      <w:tr w14:paraId="6D5C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4" w:space="0"/>
              <w:right w:val="single" w:color="auto" w:sz="4" w:space="0"/>
            </w:tcBorders>
            <w:shd w:val="clear" w:color="auto" w:fill="auto"/>
            <w:vAlign w:val="center"/>
          </w:tcPr>
          <w:p w14:paraId="6B055EFD">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外网防火墙</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2A207EBB">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Q2112978126</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610FDEE">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13243EC">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384B1">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4467818">
            <w:pPr>
              <w:snapToGrid w:val="0"/>
              <w:ind w:left="0" w:leftChars="0" w:right="0" w:rightChars="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含特征库授权</w:t>
            </w:r>
          </w:p>
        </w:tc>
      </w:tr>
      <w:tr w14:paraId="05FF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6" w:type="dxa"/>
            <w:tcBorders>
              <w:top w:val="single" w:color="auto" w:sz="4" w:space="0"/>
              <w:left w:val="single" w:color="auto" w:sz="12" w:space="0"/>
              <w:bottom w:val="single" w:color="auto" w:sz="12" w:space="0"/>
              <w:right w:val="single" w:color="auto" w:sz="4" w:space="0"/>
            </w:tcBorders>
            <w:shd w:val="clear" w:color="auto" w:fill="auto"/>
            <w:vAlign w:val="center"/>
          </w:tcPr>
          <w:p w14:paraId="1FBD5801">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上网行为管理</w:t>
            </w:r>
          </w:p>
        </w:tc>
        <w:tc>
          <w:tcPr>
            <w:tcW w:w="2616" w:type="dxa"/>
            <w:tcBorders>
              <w:top w:val="single" w:color="auto" w:sz="4" w:space="0"/>
              <w:left w:val="single" w:color="auto" w:sz="4" w:space="0"/>
              <w:bottom w:val="single" w:color="auto" w:sz="12" w:space="0"/>
              <w:right w:val="single" w:color="auto" w:sz="4" w:space="0"/>
            </w:tcBorders>
            <w:shd w:val="clear" w:color="auto" w:fill="auto"/>
            <w:vAlign w:val="center"/>
          </w:tcPr>
          <w:p w14:paraId="5C88148F">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Q1905071923</w:t>
            </w:r>
          </w:p>
        </w:tc>
        <w:tc>
          <w:tcPr>
            <w:tcW w:w="817" w:type="dxa"/>
            <w:tcBorders>
              <w:top w:val="single" w:color="auto" w:sz="4" w:space="0"/>
              <w:left w:val="single" w:color="auto" w:sz="4" w:space="0"/>
              <w:bottom w:val="single" w:color="auto" w:sz="12" w:space="0"/>
              <w:right w:val="single" w:color="auto" w:sz="4" w:space="0"/>
            </w:tcBorders>
            <w:shd w:val="clear" w:color="auto" w:fill="auto"/>
            <w:vAlign w:val="center"/>
          </w:tcPr>
          <w:p w14:paraId="37DCA1D4">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817" w:type="dxa"/>
            <w:tcBorders>
              <w:top w:val="single" w:color="auto" w:sz="4" w:space="0"/>
              <w:left w:val="single" w:color="auto" w:sz="4" w:space="0"/>
              <w:bottom w:val="single" w:color="auto" w:sz="12" w:space="0"/>
              <w:right w:val="single" w:color="auto" w:sz="4" w:space="0"/>
            </w:tcBorders>
            <w:shd w:val="clear" w:color="auto" w:fill="auto"/>
            <w:vAlign w:val="center"/>
          </w:tcPr>
          <w:p w14:paraId="6D47E1DC">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p>
        </w:tc>
        <w:tc>
          <w:tcPr>
            <w:tcW w:w="1056"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D192DD1">
            <w:pPr>
              <w:snapToGrid w:val="0"/>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天融信</w:t>
            </w:r>
          </w:p>
        </w:tc>
        <w:tc>
          <w:tcPr>
            <w:tcW w:w="2136"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2A819A80">
            <w:pPr>
              <w:snapToGrid w:val="0"/>
              <w:ind w:left="0" w:leftChars="0" w:right="0" w:rightChars="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含特征库授权</w:t>
            </w:r>
          </w:p>
        </w:tc>
      </w:tr>
    </w:tbl>
    <w:p w14:paraId="3BF8EC7A">
      <w:pPr>
        <w:numPr>
          <w:ilvl w:val="0"/>
          <w:numId w:val="0"/>
        </w:numPr>
        <w:rPr>
          <w:rFonts w:hint="eastAsia" w:ascii="仿宋" w:hAnsi="仿宋" w:eastAsia="仿宋" w:cs="仿宋"/>
          <w:b/>
          <w:bCs/>
          <w:sz w:val="24"/>
          <w:szCs w:val="24"/>
        </w:rPr>
      </w:pPr>
    </w:p>
    <w:p w14:paraId="6416E899">
      <w:pPr>
        <w:numPr>
          <w:ilvl w:val="0"/>
          <w:numId w:val="0"/>
        </w:numPr>
        <w:rPr>
          <w:rFonts w:hint="eastAsia" w:ascii="仿宋" w:hAnsi="仿宋" w:eastAsia="仿宋" w:cs="仿宋"/>
          <w:b/>
          <w:bCs/>
          <w:sz w:val="24"/>
          <w:szCs w:val="24"/>
        </w:rPr>
      </w:pPr>
    </w:p>
    <w:p w14:paraId="3B7D8425">
      <w:pPr>
        <w:spacing w:line="520" w:lineRule="exac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三、服务要求：</w:t>
      </w:r>
    </w:p>
    <w:p w14:paraId="732E0EFD">
      <w:pPr>
        <w:spacing w:line="520" w:lineRule="exact"/>
        <w:ind w:firstLine="480"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1.维护服务内容</w:t>
      </w:r>
    </w:p>
    <w:p w14:paraId="4A315C0A">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针对清单中的设备，给我院提供设备维护、设备功能使用技术指导、设备内置特征库升级服务。在设备出现故障时，能够快速的维护并解决问题，使之能满足我院网络系统安全、稳定、可靠的持续运行的需要。</w:t>
      </w:r>
    </w:p>
    <w:p w14:paraId="1462D7A3">
      <w:pPr>
        <w:numPr>
          <w:ilvl w:val="0"/>
          <w:numId w:val="0"/>
        </w:numPr>
        <w:rPr>
          <w:rFonts w:hint="eastAsia" w:ascii="仿宋" w:hAnsi="仿宋" w:eastAsia="仿宋" w:cs="仿宋"/>
          <w:b w:val="0"/>
          <w:bCs w:val="0"/>
          <w:sz w:val="24"/>
          <w:szCs w:val="24"/>
        </w:rPr>
      </w:pPr>
    </w:p>
    <w:p w14:paraId="1A8B1B0B">
      <w:pPr>
        <w:spacing w:line="520" w:lineRule="exact"/>
        <w:ind w:firstLine="480"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 xml:space="preserve">2.维护服务要求 </w:t>
      </w:r>
    </w:p>
    <w:p w14:paraId="7BF8FB28">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2.1 </w:t>
      </w:r>
      <w:r>
        <w:rPr>
          <w:rFonts w:hint="eastAsia" w:ascii="仿宋" w:hAnsi="仿宋" w:eastAsia="仿宋" w:cs="仿宋"/>
          <w:kern w:val="2"/>
          <w:sz w:val="24"/>
          <w:szCs w:val="24"/>
          <w:lang w:val="zh-CN" w:eastAsia="zh-CN" w:bidi="ar-SA"/>
        </w:rPr>
        <w:t>提供附件中硬件清单列表中所有硬件故障诊断、现场维修服务, 维护期内对所有维护设备的故障件均给予免费更换及调试服务；</w:t>
      </w:r>
    </w:p>
    <w:p w14:paraId="0862DD27">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2.2 </w:t>
      </w:r>
      <w:r>
        <w:rPr>
          <w:rFonts w:hint="eastAsia" w:ascii="仿宋" w:hAnsi="仿宋" w:eastAsia="仿宋" w:cs="仿宋"/>
          <w:kern w:val="2"/>
          <w:sz w:val="24"/>
          <w:szCs w:val="24"/>
          <w:lang w:val="zh-CN" w:eastAsia="zh-CN" w:bidi="ar-SA"/>
        </w:rPr>
        <w:t>按需要提供设备的补丁安装、设备各项功能设置操作指导等技术服务。设备特征库及设备自身版本升级过程中确保业务的连续性；</w:t>
      </w:r>
    </w:p>
    <w:p w14:paraId="4CEDE496">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2.3 </w:t>
      </w:r>
      <w:r>
        <w:rPr>
          <w:rFonts w:hint="eastAsia" w:ascii="仿宋" w:hAnsi="仿宋" w:eastAsia="仿宋" w:cs="仿宋"/>
          <w:kern w:val="2"/>
          <w:sz w:val="24"/>
          <w:szCs w:val="24"/>
          <w:lang w:val="zh-CN" w:eastAsia="zh-CN" w:bidi="ar-SA"/>
        </w:rPr>
        <w:t>配合医院完成网络安全等级保护测评（二级、三级），网络安全事件整改、应急演练、渗透漏扫等网络安全相关工作以及保密检查等业务；</w:t>
      </w:r>
    </w:p>
    <w:p w14:paraId="7A17559F">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2.4 </w:t>
      </w:r>
      <w:r>
        <w:rPr>
          <w:rFonts w:hint="eastAsia" w:ascii="仿宋" w:hAnsi="仿宋" w:eastAsia="仿宋" w:cs="仿宋"/>
          <w:kern w:val="2"/>
          <w:sz w:val="24"/>
          <w:szCs w:val="24"/>
          <w:lang w:val="zh-CN" w:eastAsia="zh-CN" w:bidi="ar-SA"/>
        </w:rPr>
        <w:t>服务期内医院若需要进行设备搬迁或调整相关系统网络拓扑等操作，需免费派技术团队人员进行远程及现场保障和技术支持；</w:t>
      </w:r>
    </w:p>
    <w:p w14:paraId="075C75A0">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2.5 </w:t>
      </w:r>
      <w:r>
        <w:rPr>
          <w:rFonts w:hint="eastAsia" w:ascii="仿宋" w:hAnsi="仿宋" w:eastAsia="仿宋" w:cs="仿宋"/>
          <w:kern w:val="2"/>
          <w:sz w:val="24"/>
          <w:szCs w:val="24"/>
          <w:lang w:val="zh-CN" w:eastAsia="zh-CN" w:bidi="ar-SA"/>
        </w:rPr>
        <w:t>备份恢复以及数据容灾演练：每季度对容灾备份一体机进行一次数据恢复验证。需提供详细的备份、恢复及容灾情况说明；</w:t>
      </w:r>
    </w:p>
    <w:p w14:paraId="437974BF">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2.6 </w:t>
      </w:r>
      <w:r>
        <w:rPr>
          <w:rFonts w:hint="eastAsia" w:ascii="仿宋" w:hAnsi="仿宋" w:eastAsia="仿宋" w:cs="仿宋"/>
          <w:kern w:val="2"/>
          <w:sz w:val="24"/>
          <w:szCs w:val="24"/>
          <w:lang w:val="zh-CN" w:eastAsia="zh-CN" w:bidi="ar-SA"/>
        </w:rPr>
        <w:t>预防性巡检服务：一年四次（一个季度一次）现场机房深度巡检服务。重大节假日进行巡检（如春节、国庆），并出具巡检报告。巡检的范围包含本次维保项目设备的运行情况，配置情况，性能指标，优化建议等，并给出明确的优化时间；</w:t>
      </w:r>
    </w:p>
    <w:p w14:paraId="5F3DCE64">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2.7 </w:t>
      </w:r>
      <w:r>
        <w:rPr>
          <w:rFonts w:hint="eastAsia" w:ascii="仿宋" w:hAnsi="仿宋" w:eastAsia="仿宋" w:cs="仿宋"/>
          <w:kern w:val="2"/>
          <w:sz w:val="24"/>
          <w:szCs w:val="24"/>
          <w:lang w:val="zh-CN" w:eastAsia="zh-CN" w:bidi="ar-SA"/>
        </w:rPr>
        <w:t>应急服务：突发故障时，需立即进行响应，并提供2小时现场救援服务，到达现场后2小时内解决问题；必要时，联系原厂技术工程师现场配合指导处理；</w:t>
      </w:r>
    </w:p>
    <w:p w14:paraId="164C330B">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2.8 </w:t>
      </w:r>
      <w:r>
        <w:rPr>
          <w:rFonts w:hint="eastAsia" w:ascii="仿宋" w:hAnsi="仿宋" w:eastAsia="仿宋" w:cs="仿宋"/>
          <w:kern w:val="2"/>
          <w:sz w:val="24"/>
          <w:szCs w:val="24"/>
          <w:lang w:val="zh-CN" w:eastAsia="zh-CN" w:bidi="ar-SA"/>
        </w:rPr>
        <w:t>提供详细的运维团队组织架构（两名以上专职运维人员）详细的工作安排及项目管理方案，及拟参与本次项目的成员的资历、学历、资质、业绩等证明文件。供应商在签订合同前提供专职服务人员的无违法犯罪记录证明材料，专职服务人员与供应商、院方签订保密协议。</w:t>
      </w:r>
    </w:p>
    <w:p w14:paraId="53081A84">
      <w:pPr>
        <w:numPr>
          <w:ilvl w:val="0"/>
          <w:numId w:val="0"/>
        </w:numPr>
        <w:rPr>
          <w:rFonts w:hint="eastAsia" w:ascii="仿宋" w:hAnsi="仿宋" w:eastAsia="仿宋" w:cs="仿宋"/>
          <w:b w:val="0"/>
          <w:bCs w:val="0"/>
          <w:sz w:val="24"/>
          <w:szCs w:val="24"/>
        </w:rPr>
      </w:pPr>
    </w:p>
    <w:p w14:paraId="38B45E39">
      <w:pPr>
        <w:spacing w:line="520" w:lineRule="exac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四、资质要求：</w:t>
      </w:r>
    </w:p>
    <w:p w14:paraId="3D3F29D1">
      <w:pPr>
        <w:spacing w:line="520" w:lineRule="exact"/>
        <w:ind w:firstLine="480" w:firstLineChars="200"/>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1.投标人资质要求：</w:t>
      </w:r>
    </w:p>
    <w:p w14:paraId="2EF278FC">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1.1 </w:t>
      </w:r>
      <w:r>
        <w:rPr>
          <w:rFonts w:hint="eastAsia" w:ascii="仿宋" w:hAnsi="仿宋" w:eastAsia="仿宋" w:cs="仿宋"/>
          <w:kern w:val="2"/>
          <w:sz w:val="24"/>
          <w:szCs w:val="24"/>
          <w:lang w:val="zh-CN" w:eastAsia="zh-CN" w:bidi="ar-SA"/>
        </w:rPr>
        <w:t>投标人获得质量管理体系认证且在有效期内；</w:t>
      </w:r>
    </w:p>
    <w:p w14:paraId="52AB89AC">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1.2 </w:t>
      </w:r>
      <w:r>
        <w:rPr>
          <w:rFonts w:hint="eastAsia" w:ascii="仿宋" w:hAnsi="仿宋" w:eastAsia="仿宋" w:cs="仿宋"/>
          <w:kern w:val="2"/>
          <w:sz w:val="24"/>
          <w:szCs w:val="24"/>
          <w:lang w:val="zh-CN" w:eastAsia="zh-CN" w:bidi="ar-SA"/>
        </w:rPr>
        <w:t>投标人获得信息技术（或 IT）服务管理体系认证证书且在有效期内；</w:t>
      </w:r>
      <w:r>
        <w:rPr>
          <w:rFonts w:hint="eastAsia" w:ascii="仿宋" w:hAnsi="仿宋" w:eastAsia="仿宋" w:cs="仿宋"/>
          <w:kern w:val="2"/>
          <w:sz w:val="24"/>
          <w:szCs w:val="24"/>
          <w:lang w:val="en-US" w:eastAsia="zh-CN" w:bidi="ar-SA"/>
        </w:rPr>
        <w:t xml:space="preserve"> </w:t>
      </w:r>
    </w:p>
    <w:p w14:paraId="2F61054C">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 xml:space="preserve">1.3 </w:t>
      </w:r>
      <w:r>
        <w:rPr>
          <w:rFonts w:hint="eastAsia" w:ascii="仿宋" w:hAnsi="仿宋" w:eastAsia="仿宋" w:cs="仿宋"/>
          <w:kern w:val="2"/>
          <w:sz w:val="24"/>
          <w:szCs w:val="24"/>
          <w:lang w:val="zh-CN" w:eastAsia="zh-CN" w:bidi="ar-SA"/>
        </w:rPr>
        <w:t>投标人获得信息安全管理体系认证证书且在有效期内。</w:t>
      </w:r>
    </w:p>
    <w:p w14:paraId="5893A225">
      <w:pPr>
        <w:numPr>
          <w:ilvl w:val="0"/>
          <w:numId w:val="0"/>
        </w:numPr>
        <w:rPr>
          <w:rFonts w:hint="eastAsia" w:ascii="仿宋" w:hAnsi="仿宋" w:eastAsia="仿宋" w:cs="仿宋"/>
          <w:b w:val="0"/>
          <w:bCs w:val="0"/>
          <w:sz w:val="24"/>
          <w:szCs w:val="24"/>
        </w:rPr>
      </w:pPr>
    </w:p>
    <w:p w14:paraId="0925C226">
      <w:pPr>
        <w:spacing w:line="520" w:lineRule="exact"/>
        <w:ind w:firstLine="480"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2.项目团队资质要求（投标人针对本项目配备的项目成员需持有以下</w:t>
      </w:r>
      <w:r>
        <w:rPr>
          <w:rFonts w:hint="default" w:ascii="仿宋" w:hAnsi="仿宋" w:eastAsia="仿宋" w:cs="仿宋"/>
          <w:b/>
          <w:bCs/>
          <w:kern w:val="2"/>
          <w:sz w:val="24"/>
          <w:szCs w:val="24"/>
          <w:lang w:val="en-US" w:eastAsia="zh-CN" w:bidi="ar-SA"/>
        </w:rPr>
        <w:t>经认证的</w:t>
      </w:r>
      <w:r>
        <w:rPr>
          <w:rFonts w:hint="eastAsia" w:ascii="仿宋" w:hAnsi="仿宋" w:eastAsia="仿宋" w:cs="仿宋"/>
          <w:b/>
          <w:bCs/>
          <w:kern w:val="2"/>
          <w:sz w:val="24"/>
          <w:szCs w:val="24"/>
          <w:lang w:val="en-US" w:eastAsia="zh-CN" w:bidi="ar-SA"/>
        </w:rPr>
        <w:t>相关证书任意之一且在有效期内）：</w:t>
      </w:r>
    </w:p>
    <w:p w14:paraId="61CE6658">
      <w:pPr>
        <w:spacing w:line="520" w:lineRule="exact"/>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2.1 </w:t>
      </w:r>
      <w:r>
        <w:rPr>
          <w:rFonts w:hint="default" w:ascii="仿宋" w:hAnsi="仿宋" w:eastAsia="仿宋" w:cs="仿宋"/>
          <w:kern w:val="2"/>
          <w:sz w:val="24"/>
          <w:szCs w:val="24"/>
          <w:lang w:val="en-US" w:eastAsia="zh-CN" w:bidi="ar-SA"/>
        </w:rPr>
        <w:t>PMP</w:t>
      </w:r>
      <w:r>
        <w:rPr>
          <w:rFonts w:hint="eastAsia" w:ascii="仿宋" w:hAnsi="仿宋" w:eastAsia="仿宋" w:cs="仿宋"/>
          <w:kern w:val="2"/>
          <w:sz w:val="24"/>
          <w:szCs w:val="24"/>
          <w:lang w:val="en-US" w:eastAsia="zh-CN" w:bidi="ar-SA"/>
        </w:rPr>
        <w:t>证书</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软考信息系统及信息服务类</w:t>
      </w:r>
      <w:r>
        <w:rPr>
          <w:rFonts w:hint="default" w:ascii="仿宋" w:hAnsi="仿宋" w:eastAsia="仿宋" w:cs="仿宋"/>
          <w:kern w:val="2"/>
          <w:sz w:val="24"/>
          <w:szCs w:val="24"/>
          <w:lang w:val="en-US" w:eastAsia="zh-CN" w:bidi="ar-SA"/>
        </w:rPr>
        <w:t>中级</w:t>
      </w:r>
      <w:r>
        <w:rPr>
          <w:rFonts w:hint="eastAsia" w:ascii="仿宋" w:hAnsi="仿宋" w:eastAsia="仿宋" w:cs="仿宋"/>
          <w:kern w:val="2"/>
          <w:sz w:val="24"/>
          <w:szCs w:val="24"/>
          <w:lang w:val="en-US" w:eastAsia="zh-CN" w:bidi="ar-SA"/>
        </w:rPr>
        <w:t>或高级任意类别</w:t>
      </w:r>
      <w:r>
        <w:rPr>
          <w:rFonts w:hint="default" w:ascii="仿宋" w:hAnsi="仿宋" w:eastAsia="仿宋" w:cs="仿宋"/>
          <w:kern w:val="2"/>
          <w:sz w:val="24"/>
          <w:szCs w:val="24"/>
          <w:lang w:val="en-US" w:eastAsia="zh-CN" w:bidi="ar-SA"/>
        </w:rPr>
        <w:t>证书</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CSPM-2</w:t>
      </w:r>
      <w:r>
        <w:rPr>
          <w:rFonts w:hint="eastAsia" w:ascii="仿宋" w:hAnsi="仿宋" w:eastAsia="仿宋" w:cs="仿宋"/>
          <w:kern w:val="2"/>
          <w:sz w:val="24"/>
          <w:szCs w:val="24"/>
          <w:lang w:val="en-US" w:eastAsia="zh-CN" w:bidi="ar-SA"/>
        </w:rPr>
        <w:t>及以上级别</w:t>
      </w:r>
      <w:r>
        <w:rPr>
          <w:rFonts w:hint="default" w:ascii="仿宋" w:hAnsi="仿宋" w:eastAsia="仿宋" w:cs="仿宋"/>
          <w:kern w:val="2"/>
          <w:sz w:val="24"/>
          <w:szCs w:val="24"/>
          <w:lang w:val="en-US" w:eastAsia="zh-CN" w:bidi="ar-SA"/>
        </w:rPr>
        <w:t>认证证书</w:t>
      </w:r>
      <w:r>
        <w:rPr>
          <w:rFonts w:hint="eastAsia" w:ascii="仿宋" w:hAnsi="仿宋" w:eastAsia="仿宋" w:cs="仿宋"/>
          <w:kern w:val="2"/>
          <w:sz w:val="24"/>
          <w:szCs w:val="24"/>
          <w:lang w:val="en-US" w:eastAsia="zh-CN" w:bidi="ar-SA"/>
        </w:rPr>
        <w:t>；</w:t>
      </w:r>
    </w:p>
    <w:p w14:paraId="2DAFDD14">
      <w:pPr>
        <w:spacing w:line="520" w:lineRule="exact"/>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 软考中级网络工程师或高级网络规划师证书，思科认证系列（CCNP, CCIE）证书；华为认证系列（HCIP, HCIE）证书；华三认证系列（H3CSE/H3CIE）证书；</w:t>
      </w:r>
    </w:p>
    <w:p w14:paraId="0DEDE3AD">
      <w:pPr>
        <w:spacing w:line="520" w:lineRule="exact"/>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 注册信息安全专业人员（CISP）证书、网络安全能力认证（CCSC）证书、信息安全保障人员（CISAW）证书。</w:t>
      </w:r>
    </w:p>
    <w:p w14:paraId="0E145A34">
      <w:pPr>
        <w:numPr>
          <w:ilvl w:val="0"/>
          <w:numId w:val="0"/>
        </w:numPr>
        <w:rPr>
          <w:rFonts w:hint="eastAsia" w:ascii="仿宋" w:hAnsi="仿宋" w:eastAsia="仿宋" w:cs="仿宋"/>
          <w:b/>
          <w:bCs/>
          <w:color w:val="FF0000"/>
          <w:sz w:val="22"/>
          <w:szCs w:val="22"/>
          <w:highlight w:val="yellow"/>
          <w:lang w:val="en-US" w:eastAsia="zh-CN"/>
        </w:rPr>
      </w:pPr>
      <w:r>
        <w:rPr>
          <w:rFonts w:hint="eastAsia" w:ascii="仿宋" w:hAnsi="仿宋" w:eastAsia="仿宋" w:cs="仿宋"/>
          <w:b/>
          <w:bCs/>
          <w:color w:val="FF0000"/>
          <w:sz w:val="22"/>
          <w:szCs w:val="22"/>
          <w:lang w:val="en-US" w:eastAsia="zh-CN"/>
        </w:rPr>
        <w:t>注：投标文件中</w:t>
      </w:r>
      <w:r>
        <w:rPr>
          <w:rFonts w:hint="eastAsia" w:ascii="仿宋" w:hAnsi="仿宋" w:eastAsia="仿宋" w:cs="仿宋"/>
          <w:b/>
          <w:bCs/>
          <w:color w:val="FF0000"/>
          <w:sz w:val="22"/>
          <w:szCs w:val="22"/>
          <w:lang w:val="zh-CN" w:eastAsia="zh-CN"/>
        </w:rPr>
        <w:t>须按照以上要求提供</w:t>
      </w:r>
      <w:r>
        <w:rPr>
          <w:rFonts w:hint="eastAsia" w:ascii="仿宋" w:hAnsi="仿宋" w:eastAsia="仿宋" w:cs="仿宋"/>
          <w:b/>
          <w:bCs/>
          <w:color w:val="FF0000"/>
          <w:sz w:val="22"/>
          <w:szCs w:val="22"/>
          <w:lang w:val="en-US" w:eastAsia="zh-CN"/>
        </w:rPr>
        <w:t>相关人员注册（或注册执业）证书扫描件，且符合以上要求。</w:t>
      </w:r>
      <w:r>
        <w:rPr>
          <w:rFonts w:hint="eastAsia" w:ascii="仿宋" w:hAnsi="仿宋" w:eastAsia="仿宋" w:cs="仿宋"/>
          <w:b/>
          <w:bCs/>
          <w:color w:val="FF0000"/>
          <w:sz w:val="22"/>
          <w:szCs w:val="22"/>
          <w:lang w:val="zh-CN" w:eastAsia="zh-CN"/>
        </w:rPr>
        <w:t>投标文件中须按照以上要求提供</w:t>
      </w:r>
      <w:r>
        <w:rPr>
          <w:rFonts w:hint="eastAsia" w:ascii="仿宋" w:hAnsi="仿宋" w:eastAsia="仿宋" w:cs="仿宋"/>
          <w:b/>
          <w:bCs/>
          <w:color w:val="FF0000"/>
          <w:sz w:val="22"/>
          <w:szCs w:val="22"/>
          <w:lang w:val="en-US" w:eastAsia="zh-CN"/>
        </w:rPr>
        <w:t>相关人员</w:t>
      </w:r>
      <w:r>
        <w:rPr>
          <w:rFonts w:hint="eastAsia" w:ascii="仿宋" w:hAnsi="仿宋" w:eastAsia="仿宋" w:cs="仿宋"/>
          <w:b/>
          <w:bCs/>
          <w:color w:val="FF0000"/>
          <w:sz w:val="22"/>
          <w:szCs w:val="22"/>
          <w:lang w:val="zh-CN" w:eastAsia="zh-CN"/>
        </w:rPr>
        <w:t>的职称证书</w:t>
      </w:r>
      <w:r>
        <w:rPr>
          <w:rFonts w:hint="eastAsia" w:ascii="仿宋" w:hAnsi="仿宋" w:eastAsia="仿宋" w:cs="仿宋"/>
          <w:b/>
          <w:bCs/>
          <w:color w:val="FF0000"/>
          <w:sz w:val="22"/>
          <w:szCs w:val="22"/>
          <w:lang w:val="en-US" w:eastAsia="zh-CN"/>
        </w:rPr>
        <w:t>扫描件</w:t>
      </w:r>
      <w:r>
        <w:rPr>
          <w:rFonts w:hint="eastAsia" w:ascii="仿宋" w:hAnsi="仿宋" w:eastAsia="仿宋" w:cs="仿宋"/>
          <w:b/>
          <w:bCs/>
          <w:color w:val="FF0000"/>
          <w:sz w:val="22"/>
          <w:szCs w:val="22"/>
          <w:lang w:val="zh-CN" w:eastAsia="zh-CN"/>
        </w:rPr>
        <w:t>、证明材料（如有）</w:t>
      </w:r>
      <w:r>
        <w:rPr>
          <w:rFonts w:hint="eastAsia" w:ascii="仿宋" w:hAnsi="仿宋" w:eastAsia="仿宋" w:cs="仿宋"/>
          <w:b/>
          <w:bCs/>
          <w:color w:val="FF0000"/>
          <w:sz w:val="22"/>
          <w:szCs w:val="22"/>
          <w:lang w:val="en-US" w:eastAsia="zh-CN"/>
        </w:rPr>
        <w:t>扫描件。</w:t>
      </w:r>
      <w:r>
        <w:rPr>
          <w:rFonts w:hint="eastAsia" w:ascii="仿宋" w:hAnsi="仿宋" w:eastAsia="仿宋" w:cs="仿宋"/>
          <w:b/>
          <w:bCs/>
          <w:color w:val="FF0000"/>
          <w:sz w:val="22"/>
          <w:szCs w:val="22"/>
          <w:highlight w:val="yellow"/>
          <w:lang w:val="en-US" w:eastAsia="zh-CN"/>
        </w:rPr>
        <w:t>投标文件中须附投标人所属社保机构出具的投标人为</w:t>
      </w:r>
      <w:r>
        <w:rPr>
          <w:rFonts w:hint="eastAsia" w:ascii="仿宋" w:hAnsi="仿宋" w:eastAsia="仿宋" w:cs="仿宋"/>
          <w:b/>
          <w:bCs/>
          <w:color w:val="FF0000"/>
          <w:sz w:val="22"/>
          <w:szCs w:val="22"/>
          <w:highlight w:val="yellow"/>
          <w:lang w:val="zh-CN" w:eastAsia="zh-CN"/>
        </w:rPr>
        <w:t>以上人员</w:t>
      </w:r>
      <w:r>
        <w:rPr>
          <w:rFonts w:hint="eastAsia" w:ascii="仿宋" w:hAnsi="仿宋" w:eastAsia="仿宋" w:cs="仿宋"/>
          <w:b/>
          <w:bCs/>
          <w:color w:val="FF0000"/>
          <w:sz w:val="22"/>
          <w:szCs w:val="22"/>
          <w:highlight w:val="yellow"/>
          <w:lang w:val="en-US" w:eastAsia="zh-CN"/>
        </w:rPr>
        <w:t>（2024年7月1日&lt;含&gt;以来任意1个月以上（含一个月））缴纳社保的证明材料扫描件。</w:t>
      </w:r>
    </w:p>
    <w:p w14:paraId="2BE13E8E">
      <w:pPr>
        <w:spacing w:line="340" w:lineRule="exact"/>
        <w:jc w:val="both"/>
        <w:rPr>
          <w:rFonts w:hint="eastAsia" w:ascii="宋体" w:hAnsi="宋体"/>
          <w:b w:val="0"/>
          <w:i w:val="0"/>
          <w:caps w:val="0"/>
          <w:spacing w:val="0"/>
          <w:w w:val="100"/>
          <w:sz w:val="24"/>
          <w:szCs w:val="24"/>
          <w:highlight w:val="none"/>
          <w:lang w:val="en-US" w:eastAsia="zh-CN"/>
        </w:rPr>
      </w:pPr>
    </w:p>
    <w:p w14:paraId="27BDFC6A">
      <w:pPr>
        <w:numPr>
          <w:ilvl w:val="0"/>
          <w:numId w:val="0"/>
        </w:numPr>
        <w:rPr>
          <w:rFonts w:hint="eastAsia" w:ascii="仿宋" w:hAnsi="仿宋" w:eastAsia="仿宋" w:cs="仿宋"/>
          <w:b w:val="0"/>
          <w:bCs w:val="0"/>
          <w:sz w:val="24"/>
          <w:szCs w:val="24"/>
        </w:rPr>
      </w:pPr>
    </w:p>
    <w:p w14:paraId="02FF1227">
      <w:pPr>
        <w:rPr>
          <w:rFonts w:hint="eastAsia" w:ascii="仿宋" w:hAnsi="仿宋" w:eastAsia="仿宋" w:cs="仿宋"/>
          <w:b/>
          <w:bCs w:val="0"/>
          <w:kern w:val="2"/>
          <w:sz w:val="24"/>
          <w:szCs w:val="24"/>
          <w:lang w:val="en-US" w:eastAsia="zh-CN" w:bidi="ar-SA"/>
        </w:rPr>
      </w:pPr>
    </w:p>
    <w:p w14:paraId="0001E5DE">
      <w:pPr>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（三）商务要求</w:t>
      </w:r>
    </w:p>
    <w:bookmarkEnd w:id="0"/>
    <w:p w14:paraId="48494683">
      <w:pPr>
        <w:spacing w:line="520" w:lineRule="exact"/>
        <w:ind w:firstLine="480" w:firstLineChars="200"/>
        <w:rPr>
          <w:rFonts w:hint="eastAsia" w:ascii="仿宋" w:hAnsi="仿宋" w:eastAsia="仿宋" w:cs="仿宋"/>
          <w:kern w:val="2"/>
          <w:sz w:val="24"/>
          <w:szCs w:val="24"/>
          <w:lang w:val="zh-CN" w:eastAsia="zh-CN" w:bidi="ar-SA"/>
        </w:rPr>
      </w:pPr>
      <w:bookmarkStart w:id="2" w:name="_GoBack"/>
      <w:bookmarkEnd w:id="2"/>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zh-CN" w:eastAsia="zh-CN" w:bidi="ar-SA"/>
        </w:rPr>
        <w:t>服务时间（期限）：合同签订之日起不超过3年。合同采取一年一签，采购人对成交供应商服务满意，在合同内容不变情况下，可以继续与其签订下一个服务周期的服务合同；一个服务周期结束后，采购人也可以根据实际情况拒绝与成交供应商签订下一个服务周期的服务合同，重新采购。服务期限内由采购人对其服务质量进行考核（考核办法由采购人另定），考核不合格，采购人有权解除合同。</w:t>
      </w:r>
    </w:p>
    <w:p w14:paraId="176CE547">
      <w:pPr>
        <w:spacing w:line="520" w:lineRule="exact"/>
        <w:ind w:firstLine="480" w:firstLineChars="200"/>
        <w:outlineLvl w:val="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CN" w:eastAsia="zh-CN" w:bidi="ar-SA"/>
        </w:rPr>
        <w:t>、</w:t>
      </w:r>
      <w:r>
        <w:rPr>
          <w:rFonts w:hint="eastAsia" w:ascii="仿宋" w:hAnsi="仿宋" w:eastAsia="仿宋" w:cs="仿宋"/>
          <w:kern w:val="2"/>
          <w:sz w:val="24"/>
          <w:szCs w:val="24"/>
          <w:lang w:val="en-US" w:eastAsia="zh-CN" w:bidi="ar-SA"/>
        </w:rPr>
        <w:t>进场时间：成交供应商应在合同签订之日起5个工作日内完成对机房网络安全设备运行现状的调研和目前存在问题的统计工作，保证相关服务工作正常有序进行。</w:t>
      </w:r>
    </w:p>
    <w:p w14:paraId="368E7C0E">
      <w:pPr>
        <w:spacing w:line="520" w:lineRule="exact"/>
        <w:ind w:firstLine="480" w:firstLineChars="200"/>
        <w:outlineLvl w:val="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zh-CN" w:eastAsia="zh-CN" w:bidi="ar-SA"/>
        </w:rPr>
        <w:t>、服务地点：马鞍山市</w:t>
      </w:r>
      <w:r>
        <w:rPr>
          <w:rFonts w:hint="eastAsia" w:ascii="仿宋" w:hAnsi="仿宋" w:eastAsia="仿宋" w:cs="仿宋"/>
          <w:kern w:val="2"/>
          <w:sz w:val="24"/>
          <w:szCs w:val="24"/>
          <w:lang w:val="en-US" w:eastAsia="zh-CN" w:bidi="ar-SA"/>
        </w:rPr>
        <w:t>中医院</w:t>
      </w:r>
      <w:r>
        <w:rPr>
          <w:rFonts w:hint="eastAsia" w:ascii="仿宋" w:hAnsi="仿宋" w:eastAsia="仿宋" w:cs="仿宋"/>
          <w:kern w:val="2"/>
          <w:sz w:val="24"/>
          <w:szCs w:val="24"/>
          <w:lang w:val="zh-CN" w:eastAsia="zh-CN" w:bidi="ar-SA"/>
        </w:rPr>
        <w:t>（采购人指定地点）。</w:t>
      </w:r>
    </w:p>
    <w:p w14:paraId="0AF50F65">
      <w:pPr>
        <w:numPr>
          <w:ilvl w:val="0"/>
          <w:numId w:val="0"/>
        </w:num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zh-CN" w:eastAsia="zh-CN" w:bidi="ar-SA"/>
        </w:rPr>
        <w:t>质保期限：在合同规定的维保期内保障网络安全设备的正常运行和设备特征库处于最新状态。</w:t>
      </w:r>
    </w:p>
    <w:p w14:paraId="7F46B341">
      <w:pPr>
        <w:numPr>
          <w:ilvl w:val="0"/>
          <w:numId w:val="0"/>
        </w:num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zh-CN" w:eastAsia="zh-CN" w:bidi="ar-SA"/>
        </w:rPr>
        <w:t>付款方式：合同款实行每年结算，在成交供应商切实履行了全部合同义务后，由采购人对成交供应商本年度的服务进行考核，经采购人考核合格后于30日内支付合同款。</w:t>
      </w:r>
    </w:p>
    <w:p w14:paraId="3FF4C80A">
      <w:pPr>
        <w:numPr>
          <w:ilvl w:val="0"/>
          <w:numId w:val="0"/>
        </w:num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6、</w:t>
      </w:r>
      <w:r>
        <w:rPr>
          <w:rFonts w:hint="eastAsia" w:ascii="仿宋" w:hAnsi="仿宋" w:eastAsia="仿宋" w:cs="仿宋"/>
          <w:kern w:val="2"/>
          <w:sz w:val="24"/>
          <w:szCs w:val="24"/>
          <w:lang w:val="zh-CN" w:eastAsia="zh-CN" w:bidi="ar-SA"/>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5535460">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7</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投标文件中为本项目配备的人员力量，在合同履行期间，成交供应商须按采购人要求到达本项目现场提供相应服务，否则采购人有权解除采购合同。</w:t>
      </w:r>
    </w:p>
    <w:p w14:paraId="7C0D55A1">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8、成交供应商须设有运维服务电话，负责解答用户在使用中遇到的问题，及时提出解决问题的建议和操作方法。</w:t>
      </w:r>
    </w:p>
    <w:p w14:paraId="39B9BD02">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9</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服务响应时间：成交供应商需设有专门的服务队伍，建立完备的响应机制。如出现服务问题，电话响应无法解决，成交供应商必须在接到电话2小时内到达现场，4小时内解决问题。</w:t>
      </w:r>
    </w:p>
    <w:p w14:paraId="079F1114">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10</w:t>
      </w:r>
      <w:r>
        <w:rPr>
          <w:rFonts w:hint="default" w:ascii="仿宋" w:hAnsi="仿宋" w:eastAsia="仿宋" w:cs="仿宋"/>
          <w:kern w:val="2"/>
          <w:sz w:val="24"/>
          <w:szCs w:val="24"/>
          <w:lang w:val="zh-CN" w:eastAsia="zh-CN" w:bidi="ar-SA"/>
        </w:rPr>
        <w:t>、验收：</w:t>
      </w:r>
    </w:p>
    <w:p w14:paraId="2C3DF11A">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10</w:t>
      </w:r>
      <w:r>
        <w:rPr>
          <w:rFonts w:hint="default" w:ascii="仿宋" w:hAnsi="仿宋" w:eastAsia="仿宋" w:cs="仿宋"/>
          <w:kern w:val="2"/>
          <w:sz w:val="24"/>
          <w:szCs w:val="24"/>
          <w:lang w:val="zh-CN" w:eastAsia="zh-CN" w:bidi="ar-SA"/>
        </w:rPr>
        <w:t>.1采购人和相关部门按照招标文件和招标响应文件进行验收。招标文件没有规定和招标响应文件没有相应承诺的，按照下列原则进行验收：有国家标准的按照国家标准验收，没有国家标准的按行业标准验收，无行业标准的按地方或企业标准验收，成交投标人予以配合。涉及需要由其他相关行业主管部门验收的项目，采购人须约请相关部门和专家参加项目验收。</w:t>
      </w:r>
    </w:p>
    <w:p w14:paraId="5352C34D">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10</w:t>
      </w:r>
      <w:r>
        <w:rPr>
          <w:rFonts w:hint="default" w:ascii="仿宋" w:hAnsi="仿宋" w:eastAsia="仿宋" w:cs="仿宋"/>
          <w:kern w:val="2"/>
          <w:sz w:val="24"/>
          <w:szCs w:val="24"/>
          <w:lang w:val="zh-CN" w:eastAsia="zh-CN" w:bidi="ar-SA"/>
        </w:rPr>
        <w:t>.2采购人及相关行业主管部门对项目进行全面的验收，对验收中暴露出来的问题，成交投标人应及时进行整改，整改后仍达不到验收标准的，采购人有权取消成交投标人资格。</w:t>
      </w:r>
    </w:p>
    <w:p w14:paraId="188079A6">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11、</w:t>
      </w:r>
      <w:r>
        <w:rPr>
          <w:rFonts w:hint="eastAsia" w:ascii="仿宋" w:hAnsi="仿宋" w:eastAsia="仿宋" w:cs="仿宋"/>
          <w:kern w:val="2"/>
          <w:sz w:val="24"/>
          <w:szCs w:val="24"/>
          <w:lang w:val="zh-CN" w:eastAsia="zh-CN" w:bidi="ar-SA"/>
        </w:rPr>
        <w:t>本项目总投标价包含了交付使用前的全部费用及所有价内价外税金及合理利润等，</w:t>
      </w:r>
      <w:r>
        <w:rPr>
          <w:rFonts w:hint="eastAsia" w:ascii="仿宋" w:hAnsi="仿宋" w:eastAsia="仿宋" w:cs="仿宋"/>
          <w:kern w:val="2"/>
          <w:sz w:val="24"/>
          <w:szCs w:val="24"/>
          <w:lang w:val="en-US" w:eastAsia="zh-CN" w:bidi="ar-SA"/>
        </w:rPr>
        <w:t>不再产生任何二次费用。</w:t>
      </w:r>
    </w:p>
    <w:p w14:paraId="351971EF">
      <w:pPr>
        <w:spacing w:line="460" w:lineRule="exact"/>
        <w:ind w:firstLine="600"/>
        <w:rPr>
          <w:rFonts w:hint="eastAsia" w:ascii="宋体" w:hAnsi="宋体" w:eastAsia="宋体" w:cs="宋体"/>
          <w:sz w:val="24"/>
          <w:lang w:val="en-US" w:eastAsia="zh-CN"/>
        </w:rPr>
      </w:pP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roman"/>
    <w:pitch w:val="default"/>
    <w:sig w:usb0="00000000" w:usb1="00000000" w:usb2="0000006E" w:usb3="00000000" w:csb0="00000002" w:csb1="0062E6A4"/>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DF72">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51E737A5">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9717">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0D8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VjOGUxODk1YzY2NTUxMWVjNzRmZDgxYTIzNjVjOGQifQ=="/>
  </w:docVars>
  <w:rsids>
    <w:rsidRoot w:val="00000000"/>
    <w:rsid w:val="006335AF"/>
    <w:rsid w:val="020A3257"/>
    <w:rsid w:val="03CB7491"/>
    <w:rsid w:val="052A3046"/>
    <w:rsid w:val="05C65170"/>
    <w:rsid w:val="05EB0880"/>
    <w:rsid w:val="062E4AEA"/>
    <w:rsid w:val="06CC51B2"/>
    <w:rsid w:val="06E339B1"/>
    <w:rsid w:val="07E96A1E"/>
    <w:rsid w:val="09175C96"/>
    <w:rsid w:val="0A6C6349"/>
    <w:rsid w:val="0B8A6221"/>
    <w:rsid w:val="16135A37"/>
    <w:rsid w:val="187263AC"/>
    <w:rsid w:val="1A5A58C9"/>
    <w:rsid w:val="1BE30673"/>
    <w:rsid w:val="1C7F35CF"/>
    <w:rsid w:val="1EA6006C"/>
    <w:rsid w:val="200B3B6B"/>
    <w:rsid w:val="20230655"/>
    <w:rsid w:val="21072CC7"/>
    <w:rsid w:val="2214117B"/>
    <w:rsid w:val="22F722B3"/>
    <w:rsid w:val="230044F9"/>
    <w:rsid w:val="25253F4E"/>
    <w:rsid w:val="25D6079F"/>
    <w:rsid w:val="27E74129"/>
    <w:rsid w:val="28901CFF"/>
    <w:rsid w:val="28A63A77"/>
    <w:rsid w:val="28E75901"/>
    <w:rsid w:val="298F1778"/>
    <w:rsid w:val="2F3A581B"/>
    <w:rsid w:val="2F683B53"/>
    <w:rsid w:val="2F937E28"/>
    <w:rsid w:val="30C2420B"/>
    <w:rsid w:val="310E58A1"/>
    <w:rsid w:val="322F2D66"/>
    <w:rsid w:val="32354DFC"/>
    <w:rsid w:val="323653FE"/>
    <w:rsid w:val="33082D45"/>
    <w:rsid w:val="3459486C"/>
    <w:rsid w:val="36EF52AD"/>
    <w:rsid w:val="38402058"/>
    <w:rsid w:val="3B326DB3"/>
    <w:rsid w:val="3C4E2A76"/>
    <w:rsid w:val="3CD016DD"/>
    <w:rsid w:val="3D94095C"/>
    <w:rsid w:val="40147341"/>
    <w:rsid w:val="42917E16"/>
    <w:rsid w:val="449C2FE1"/>
    <w:rsid w:val="484B78BD"/>
    <w:rsid w:val="494D732E"/>
    <w:rsid w:val="4BC7781D"/>
    <w:rsid w:val="4D20467D"/>
    <w:rsid w:val="50146947"/>
    <w:rsid w:val="51C74FB8"/>
    <w:rsid w:val="51F635A0"/>
    <w:rsid w:val="52FA6DA5"/>
    <w:rsid w:val="57C00874"/>
    <w:rsid w:val="58D331A8"/>
    <w:rsid w:val="5C013209"/>
    <w:rsid w:val="5C6B760E"/>
    <w:rsid w:val="5D2121DE"/>
    <w:rsid w:val="5EEC10DE"/>
    <w:rsid w:val="5FF608A7"/>
    <w:rsid w:val="602D5FC1"/>
    <w:rsid w:val="608A34B1"/>
    <w:rsid w:val="63CE4319"/>
    <w:rsid w:val="63D95EC9"/>
    <w:rsid w:val="64702AD3"/>
    <w:rsid w:val="6C6E4B04"/>
    <w:rsid w:val="6D8E7496"/>
    <w:rsid w:val="6E16292A"/>
    <w:rsid w:val="7075590D"/>
    <w:rsid w:val="71CC2454"/>
    <w:rsid w:val="72DC3AFD"/>
    <w:rsid w:val="735C50AE"/>
    <w:rsid w:val="73E8476A"/>
    <w:rsid w:val="73F364FA"/>
    <w:rsid w:val="74742919"/>
    <w:rsid w:val="747B3DF9"/>
    <w:rsid w:val="74EE54C4"/>
    <w:rsid w:val="750730DA"/>
    <w:rsid w:val="753B3DF9"/>
    <w:rsid w:val="77C83757"/>
    <w:rsid w:val="77E640D1"/>
    <w:rsid w:val="780B0ECF"/>
    <w:rsid w:val="78D6764B"/>
    <w:rsid w:val="78E57CE3"/>
    <w:rsid w:val="7A0D74F1"/>
    <w:rsid w:val="7A992BBA"/>
    <w:rsid w:val="7B404F0F"/>
    <w:rsid w:val="7B450E59"/>
    <w:rsid w:val="7E6C6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3">
    <w:name w:val="heading 2"/>
    <w:basedOn w:val="1"/>
    <w:next w:val="1"/>
    <w:qFormat/>
    <w:uiPriority w:val="0"/>
    <w:pPr>
      <w:keepNext/>
      <w:keepLines/>
      <w:spacing w:before="260" w:after="260" w:line="412" w:lineRule="auto"/>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w:basedOn w:val="1"/>
    <w:link w:val="28"/>
    <w:qFormat/>
    <w:uiPriority w:val="0"/>
    <w:pPr>
      <w:jc w:val="left"/>
    </w:pPr>
    <w:rPr>
      <w:rFonts w:ascii="Arial" w:hAnsi="Arial" w:eastAsia="黑体"/>
      <w:b/>
      <w:sz w:val="32"/>
    </w:rPr>
  </w:style>
  <w:style w:type="paragraph" w:styleId="7">
    <w:name w:val="Body Text Indent"/>
    <w:basedOn w:val="1"/>
    <w:link w:val="29"/>
    <w:semiHidden/>
    <w:unhideWhenUsed/>
    <w:qFormat/>
    <w:uiPriority w:val="99"/>
    <w:pPr>
      <w:spacing w:after="120"/>
      <w:ind w:left="420" w:leftChars="200"/>
    </w:pPr>
  </w:style>
  <w:style w:type="paragraph" w:styleId="8">
    <w:name w:val="Date"/>
    <w:basedOn w:val="1"/>
    <w:next w:val="1"/>
    <w:link w:val="26"/>
    <w:semiHidden/>
    <w:unhideWhenUsed/>
    <w:qFormat/>
    <w:uiPriority w:val="99"/>
    <w:pPr>
      <w:ind w:left="100" w:leftChars="2500"/>
    </w:pPr>
  </w:style>
  <w:style w:type="paragraph" w:styleId="9">
    <w:name w:val="Body Text Indent 2"/>
    <w:basedOn w:val="1"/>
    <w:qFormat/>
    <w:uiPriority w:val="0"/>
    <w:pPr>
      <w:spacing w:after="120" w:line="480" w:lineRule="auto"/>
      <w:ind w:left="420" w:leftChars="200"/>
    </w:pPr>
    <w:rPr>
      <w:rFonts w:ascii="宋体"/>
      <w:sz w:val="32"/>
      <w:szCs w:val="22"/>
    </w:r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0"/>
    <w:pPr>
      <w:tabs>
        <w:tab w:val="center" w:pos="4153"/>
        <w:tab w:val="right" w:pos="8306"/>
      </w:tabs>
      <w:snapToGrid w:val="0"/>
      <w:jc w:val="left"/>
    </w:pPr>
    <w:rPr>
      <w:sz w:val="18"/>
      <w:szCs w:val="18"/>
    </w:rPr>
  </w:style>
  <w:style w:type="paragraph" w:styleId="12">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pPr>
    <w:rPr>
      <w:rFonts w:ascii="Calibri" w:hAnsi="Calibri" w:eastAsia="宋体" w:cs="Times New Roman"/>
      <w:szCs w:val="24"/>
    </w:rPr>
  </w:style>
  <w:style w:type="paragraph" w:styleId="14">
    <w:name w:val="Body Text 2"/>
    <w:basedOn w:val="1"/>
    <w:next w:val="1"/>
    <w:qFormat/>
    <w:uiPriority w:val="0"/>
    <w:pPr>
      <w:spacing w:after="120" w:line="480" w:lineRule="auto"/>
    </w:pPr>
    <w:rPr>
      <w:kern w:val="0"/>
      <w:sz w:val="20"/>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7"/>
    <w:link w:val="30"/>
    <w:semiHidden/>
    <w:unhideWhenUsed/>
    <w:qFormat/>
    <w:uiPriority w:val="99"/>
    <w:pPr>
      <w:ind w:firstLine="420" w:firstLineChars="200"/>
    </w:pPr>
  </w:style>
  <w:style w:type="table" w:styleId="18">
    <w:name w:val="Table Grid"/>
    <w:basedOn w:val="1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semiHidden/>
    <w:unhideWhenUsed/>
    <w:qFormat/>
    <w:uiPriority w:val="99"/>
    <w:rPr>
      <w:rFonts w:cs="Times New Roman"/>
    </w:rPr>
  </w:style>
  <w:style w:type="character" w:styleId="22">
    <w:name w:val="Hyperlink"/>
    <w:basedOn w:val="19"/>
    <w:unhideWhenUsed/>
    <w:qFormat/>
    <w:uiPriority w:val="99"/>
    <w:rPr>
      <w:color w:val="0000FF"/>
      <w:u w:val="single"/>
    </w:rPr>
  </w:style>
  <w:style w:type="paragraph" w:customStyle="1"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页眉 Char"/>
    <w:basedOn w:val="19"/>
    <w:link w:val="12"/>
    <w:semiHidden/>
    <w:qFormat/>
    <w:uiPriority w:val="99"/>
    <w:rPr>
      <w:sz w:val="18"/>
      <w:szCs w:val="18"/>
    </w:rPr>
  </w:style>
  <w:style w:type="character" w:customStyle="1" w:styleId="25">
    <w:name w:val="页脚 Char"/>
    <w:basedOn w:val="19"/>
    <w:link w:val="11"/>
    <w:qFormat/>
    <w:uiPriority w:val="0"/>
    <w:rPr>
      <w:sz w:val="18"/>
      <w:szCs w:val="18"/>
    </w:rPr>
  </w:style>
  <w:style w:type="character" w:customStyle="1" w:styleId="26">
    <w:name w:val="日期 Char"/>
    <w:basedOn w:val="19"/>
    <w:link w:val="8"/>
    <w:semiHidden/>
    <w:qFormat/>
    <w:uiPriority w:val="99"/>
  </w:style>
  <w:style w:type="character" w:customStyle="1" w:styleId="27">
    <w:name w:val="正文文本 Char"/>
    <w:link w:val="6"/>
    <w:qFormat/>
    <w:locked/>
    <w:uiPriority w:val="0"/>
    <w:rPr>
      <w:rFonts w:ascii="Arial" w:hAnsi="Arial" w:eastAsia="黑体"/>
      <w:b/>
      <w:sz w:val="32"/>
    </w:rPr>
  </w:style>
  <w:style w:type="character" w:customStyle="1" w:styleId="28">
    <w:name w:val="正文文本 Char1"/>
    <w:basedOn w:val="19"/>
    <w:link w:val="6"/>
    <w:semiHidden/>
    <w:qFormat/>
    <w:uiPriority w:val="99"/>
  </w:style>
  <w:style w:type="character" w:customStyle="1" w:styleId="29">
    <w:name w:val="正文文本缩进 Char"/>
    <w:basedOn w:val="19"/>
    <w:link w:val="7"/>
    <w:semiHidden/>
    <w:qFormat/>
    <w:uiPriority w:val="99"/>
  </w:style>
  <w:style w:type="character" w:customStyle="1" w:styleId="30">
    <w:name w:val="正文首行缩进 2 Char"/>
    <w:basedOn w:val="29"/>
    <w:link w:val="16"/>
    <w:semiHidden/>
    <w:qFormat/>
    <w:uiPriority w:val="99"/>
  </w:style>
  <w:style w:type="character" w:customStyle="1" w:styleId="31">
    <w:name w:val="批注框文本 Char"/>
    <w:basedOn w:val="19"/>
    <w:link w:val="10"/>
    <w:semiHidden/>
    <w:qFormat/>
    <w:uiPriority w:val="99"/>
    <w:rPr>
      <w:sz w:val="18"/>
      <w:szCs w:val="18"/>
    </w:rPr>
  </w:style>
  <w:style w:type="paragraph" w:customStyle="1" w:styleId="32">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33">
    <w:name w:val="目录 21"/>
    <w:basedOn w:val="1"/>
    <w:qFormat/>
    <w:uiPriority w:val="0"/>
    <w:pPr>
      <w:ind w:left="420"/>
    </w:pPr>
    <w:rPr>
      <w:rFonts w:eastAsia="仿宋_GB2312"/>
      <w:b/>
      <w:sz w:val="24"/>
    </w:rPr>
  </w:style>
  <w:style w:type="character" w:customStyle="1" w:styleId="34">
    <w:name w:val="标题 1 Char"/>
    <w:basedOn w:val="19"/>
    <w:link w:val="2"/>
    <w:qFormat/>
    <w:uiPriority w:val="0"/>
    <w:rPr>
      <w:rFonts w:ascii="Times New Roman" w:hAnsi="Times New Roman" w:eastAsia="黑体"/>
      <w:b/>
      <w:bCs/>
      <w:kern w:val="44"/>
      <w:sz w:val="30"/>
      <w:szCs w:val="44"/>
    </w:rPr>
  </w:style>
  <w:style w:type="character" w:customStyle="1" w:styleId="35">
    <w:name w:val="font101"/>
    <w:basedOn w:val="19"/>
    <w:qFormat/>
    <w:uiPriority w:val="0"/>
    <w:rPr>
      <w:rFonts w:hint="eastAsia" w:ascii="宋体" w:hAnsi="宋体" w:eastAsia="宋体" w:cs="宋体"/>
      <w:color w:val="FF0000"/>
      <w:sz w:val="20"/>
      <w:szCs w:val="20"/>
      <w:u w:val="none"/>
    </w:rPr>
  </w:style>
  <w:style w:type="paragraph" w:customStyle="1" w:styleId="36">
    <w:name w:val="节标题"/>
    <w:basedOn w:val="1"/>
    <w:next w:val="1"/>
    <w:qFormat/>
    <w:uiPriority w:val="0"/>
    <w:pPr>
      <w:widowControl/>
      <w:spacing w:line="289" w:lineRule="atLeast"/>
      <w:jc w:val="center"/>
      <w:textAlignment w:val="baseline"/>
    </w:pPr>
    <w:rPr>
      <w:color w:val="000000"/>
      <w:kern w:val="0"/>
      <w:sz w:val="28"/>
    </w:rPr>
  </w:style>
  <w:style w:type="paragraph" w:customStyle="1" w:styleId="37">
    <w:name w:val="p0"/>
    <w:basedOn w:val="1"/>
    <w:qFormat/>
    <w:uiPriority w:val="0"/>
    <w:pPr>
      <w:widowControl/>
    </w:pPr>
    <w:rPr>
      <w:rFonts w:cs="宋体"/>
      <w:kern w:val="0"/>
    </w:rPr>
  </w:style>
  <w:style w:type="paragraph" w:customStyle="1" w:styleId="38">
    <w:name w:val="列出段落1"/>
    <w:basedOn w:val="1"/>
    <w:qFormat/>
    <w:uiPriority w:val="0"/>
    <w:pPr>
      <w:widowControl/>
      <w:adjustRightInd w:val="0"/>
      <w:snapToGrid w:val="0"/>
      <w:spacing w:after="200" w:afterLines="0"/>
      <w:ind w:firstLine="420" w:firstLineChars="200"/>
      <w:jc w:val="left"/>
    </w:pPr>
    <w:rPr>
      <w:rFonts w:ascii="Tahoma" w:hAnsi="Tahoma" w:eastAsia="微软雅黑"/>
      <w:kern w:val="0"/>
      <w:sz w:val="22"/>
      <w:szCs w:val="22"/>
    </w:rPr>
  </w:style>
  <w:style w:type="paragraph" w:customStyle="1" w:styleId="39">
    <w:name w:val="哈哈正文"/>
    <w:basedOn w:val="1"/>
    <w:qFormat/>
    <w:uiPriority w:val="0"/>
    <w:pPr>
      <w:widowControl/>
      <w:spacing w:before="119" w:line="360" w:lineRule="auto"/>
      <w:ind w:left="567" w:firstLine="420" w:firstLineChars="232"/>
    </w:pPr>
    <w:rPr>
      <w:rFonts w:ascii="宋体" w:hAnsi="宋体"/>
      <w:sz w:val="24"/>
      <w:szCs w:val="20"/>
    </w:rPr>
  </w:style>
  <w:style w:type="paragraph" w:customStyle="1" w:styleId="40">
    <w:name w:val="列表段落1"/>
    <w:basedOn w:val="1"/>
    <w:qFormat/>
    <w:uiPriority w:val="34"/>
    <w:pPr>
      <w:ind w:firstLine="420" w:firstLineChars="200"/>
    </w:pPr>
  </w:style>
  <w:style w:type="paragraph" w:customStyle="1" w:styleId="41">
    <w:name w:val="标准正文样式"/>
    <w:basedOn w:val="1"/>
    <w:qFormat/>
    <w:uiPriority w:val="0"/>
    <w:pPr>
      <w:widowControl/>
      <w:spacing w:line="360" w:lineRule="auto"/>
      <w:ind w:firstLine="200" w:firstLineChars="200"/>
      <w:jc w:val="left"/>
    </w:pPr>
    <w:rPr>
      <w:sz w:val="24"/>
    </w:rPr>
  </w:style>
  <w:style w:type="paragraph" w:customStyle="1" w:styleId="42">
    <w:name w:val="_正文段落"/>
    <w:basedOn w:val="43"/>
    <w:qFormat/>
    <w:uiPriority w:val="0"/>
    <w:pPr>
      <w:widowControl w:val="0"/>
      <w:spacing w:beforeLines="15" w:afterLines="15" w:line="360" w:lineRule="auto"/>
      <w:ind w:firstLine="480" w:firstLineChars="200"/>
      <w:jc w:val="both"/>
    </w:pPr>
    <w:rPr>
      <w:rFonts w:hAnsi="宋体"/>
      <w:sz w:val="24"/>
      <w:szCs w:val="24"/>
    </w:rPr>
  </w:style>
  <w:style w:type="paragraph" w:customStyle="1" w:styleId="43">
    <w:name w:val="纯文本1"/>
    <w:basedOn w:val="1"/>
    <w:qFormat/>
    <w:uiPriority w:val="0"/>
    <w:pPr>
      <w:widowControl/>
      <w:jc w:val="left"/>
    </w:pPr>
    <w:rPr>
      <w:rFonts w:ascii="宋体" w:hAnsi="Courier New"/>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2688</Words>
  <Characters>2912</Characters>
  <Lines>6</Lines>
  <Paragraphs>1</Paragraphs>
  <TotalTime>6</TotalTime>
  <ScaleCrop>false</ScaleCrop>
  <LinksUpToDate>false</LinksUpToDate>
  <CharactersWithSpaces>2953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能能</cp:lastModifiedBy>
  <cp:lastPrinted>2024-08-02T08:38:00Z</cp:lastPrinted>
  <dcterms:modified xsi:type="dcterms:W3CDTF">2025-11-27T05:14:52Z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5454054EEDDD420495B91241D8CDEB4A</vt:lpwstr>
  </property>
  <property fmtid="{D5CDD505-2E9C-101B-9397-08002B2CF9AE}" pid="4" name="KSOTemplateDocerSaveRecord">
    <vt:lpwstr>eyJoZGlkIjoiNjVjOGUxODk1YzY2NTUxMWVjNzRmZDgxYTIzNjVjOGQiLCJ1c2VySWQiOiI1NTUzMTQ2MDYifQ==</vt:lpwstr>
  </property>
</Properties>
</file>