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36"/>
          <w:szCs w:val="36"/>
          <w:highlight w:val="none"/>
          <w:lang w:val="en-US" w:eastAsia="zh-CN" w:bidi="ar-SA"/>
        </w:rPr>
      </w:pPr>
      <w:r>
        <w:rPr>
          <w:rFonts w:hint="eastAsia" w:ascii="宋体" w:hAnsi="宋体" w:eastAsia="宋体" w:cs="宋体"/>
          <w:color w:val="000000" w:themeColor="text1"/>
          <w:spacing w:val="-20"/>
          <w:kern w:val="2"/>
          <w:sz w:val="36"/>
          <w:szCs w:val="36"/>
          <w:highlight w:val="none"/>
          <w:lang w:val="en-US" w:eastAsia="zh-CN" w:bidi="ar-SA"/>
        </w:rPr>
        <w:t>马鞍山市中医院监控网络改造项目内容及相关要求</w:t>
      </w:r>
    </w:p>
    <w:p>
      <w:pPr>
        <w:numPr>
          <w:ilvl w:val="0"/>
          <w:numId w:val="1"/>
        </w:numPr>
        <w:tabs>
          <w:tab w:val="left" w:pos="1050"/>
        </w:tabs>
        <w:spacing w:line="460" w:lineRule="exact"/>
        <w:jc w:val="left"/>
        <w:outlineLvl w:val="2"/>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采购预算</w:t>
      </w:r>
    </w:p>
    <w:p>
      <w:pPr>
        <w:spacing w:line="34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预算金额</w:t>
      </w:r>
      <w:r>
        <w:rPr>
          <w:rFonts w:hint="eastAsia" w:ascii="宋体" w:hAnsi="宋体" w:eastAsia="宋体" w:cs="宋体"/>
          <w:sz w:val="24"/>
          <w:lang w:eastAsia="zh-CN"/>
        </w:rPr>
        <w:t>（</w:t>
      </w:r>
      <w:r>
        <w:rPr>
          <w:rFonts w:hint="eastAsia" w:ascii="宋体" w:hAnsi="宋体" w:eastAsia="宋体" w:cs="宋体"/>
          <w:sz w:val="24"/>
          <w:lang w:val="en-US" w:eastAsia="zh-CN"/>
        </w:rPr>
        <w:t>人民币）</w:t>
      </w:r>
      <w:r>
        <w:rPr>
          <w:rFonts w:hint="eastAsia" w:ascii="宋体" w:hAnsi="宋体" w:eastAsia="宋体" w:cs="宋体"/>
          <w:sz w:val="24"/>
        </w:rPr>
        <w:t>：</w:t>
      </w:r>
      <w:r>
        <w:rPr>
          <w:rFonts w:hint="eastAsia" w:ascii="宋体" w:hAnsi="宋体" w:eastAsia="宋体" w:cs="宋体"/>
          <w:sz w:val="24"/>
          <w:u w:val="single"/>
        </w:rPr>
        <w:t>66982</w:t>
      </w:r>
      <w:r>
        <w:rPr>
          <w:rFonts w:hint="eastAsia" w:ascii="宋体" w:hAnsi="宋体" w:eastAsia="宋体" w:cs="宋体"/>
          <w:sz w:val="24"/>
          <w:lang w:val="en-US" w:eastAsia="zh-CN"/>
        </w:rPr>
        <w:t>元</w:t>
      </w:r>
      <w:r>
        <w:rPr>
          <w:rFonts w:hint="eastAsia" w:ascii="宋体" w:hAnsi="宋体" w:eastAsia="宋体" w:cs="宋体"/>
          <w:sz w:val="24"/>
        </w:rPr>
        <w:t>；最高限价（人民币）：</w:t>
      </w:r>
      <w:r>
        <w:rPr>
          <w:rFonts w:hint="eastAsia" w:ascii="宋体" w:hAnsi="宋体" w:eastAsia="宋体" w:cs="宋体"/>
          <w:sz w:val="24"/>
          <w:u w:val="single"/>
        </w:rPr>
        <w:t>66982</w:t>
      </w:r>
      <w:r>
        <w:rPr>
          <w:rFonts w:hint="eastAsia" w:ascii="宋体" w:hAnsi="宋体" w:eastAsia="宋体" w:cs="宋体"/>
          <w:sz w:val="24"/>
          <w:lang w:val="en-US" w:eastAsia="zh-CN"/>
        </w:rPr>
        <w:t>元。</w:t>
      </w:r>
    </w:p>
    <w:p>
      <w:pPr>
        <w:numPr>
          <w:ilvl w:val="0"/>
          <w:numId w:val="1"/>
        </w:numPr>
        <w:spacing w:line="480" w:lineRule="exact"/>
        <w:ind w:left="0" w:leftChars="0" w:firstLine="0" w:firstLineChars="0"/>
        <w:jc w:val="left"/>
        <w:rPr>
          <w:rFonts w:hint="eastAsia" w:ascii="宋体" w:hAnsi="宋体" w:eastAsia="宋体" w:cs="宋体"/>
          <w:lang w:val="en-US" w:eastAsia="zh-CN"/>
        </w:rPr>
      </w:pPr>
      <w:bookmarkStart w:id="0" w:name="_Toc26868"/>
      <w:r>
        <w:rPr>
          <w:rFonts w:hint="eastAsia" w:ascii="宋体" w:hAnsi="宋体" w:eastAsia="宋体" w:cs="宋体"/>
          <w:b/>
          <w:sz w:val="24"/>
          <w:szCs w:val="24"/>
          <w:lang w:val="en-US" w:eastAsia="zh-CN"/>
        </w:rPr>
        <w:t>采购内容及相关要求</w:t>
      </w:r>
    </w:p>
    <w:p>
      <w:pPr>
        <w:spacing w:line="48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（一）采购清单</w:t>
      </w:r>
    </w:p>
    <w:tbl>
      <w:tblPr>
        <w:tblStyle w:val="15"/>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
        <w:gridCol w:w="1323"/>
        <w:gridCol w:w="5468"/>
        <w:gridCol w:w="71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商品名称</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技术规格</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5" w:name="_GoBack" w:colFirst="4" w:colLast="4"/>
            <w:r>
              <w:rPr>
                <w:rFonts w:hint="eastAsia" w:ascii="宋体" w:hAnsi="宋体" w:eastAsia="宋体" w:cs="宋体"/>
                <w:i w:val="0"/>
                <w:iCs w:val="0"/>
                <w:color w:val="000000"/>
                <w:kern w:val="0"/>
                <w:sz w:val="20"/>
                <w:szCs w:val="20"/>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1、交换容量≥38.4Tbps/168Tbps，转发性能≥36000Mpps；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2、■支持双主控，支持业务接口卡≥3个，支持可插拔电源模块槽位数≥2，整机高度≤4U，单板卡可支持万兆48端口密度，整机最大可支持100个万兆端口；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3、支持OpenFlow功能，支持VxLAN功能，支持VXLAN二三层互通，支持VxLAN OAM ping和tracert；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4、■支持槽位带宽≥双向540Gbps线速，支持DRNI(M-LAG)跨设备链路聚合功能；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5、支持IPv4\IPv6 BFD功能，支持与OSPF/v2/v3、VRRP联动，BFD 3ms最小探测间隔测试，平均收敛性能≤12ms；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6、支持MACsec加密技术，支持sFlow等流量统计和分析功能，支持专门针对CPU保护机制的功能，具备 CPU 防攻击能力，保障CPU工作安全；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7、支持ISSU技术，升级过程中保障业务不中断，支持Telemetry流量可视化功能；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8、设备提供不少于2个网管口，支持网管口各份组，提升系统可靠性；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9、支持IPv6协议，支持IPv4和IPv6双协议栈；支持6over4 隧道，4over6 隧道。支持IPV4/IPv6策略路由。支持DHCPv6功能、IPv6 portal功能、IPv6管理功能；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10、支持ERSPAN/RSPAN镜像功能，支持Netconf Python、Ansible、可编程性(python)功能，支持MPLS OAM和Ethernet OAM功能；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11、支持NQA、iNQA(IPCA)功能。通过直接对业务报文进行标记的方法，实现对网络级和设备级的丢包统计，支持VoQ功能；支持IP分片重组功能；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主控引擎支持集成硬件监控功能，能集中监控板卡、风扇、电源、环境等，无需单独配置硬件监控板卡，支持在网络管理平台上实现对交换机和摄像头、门禁、对讲等终端设备进行系统拓扑展示及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13、ARP容量≥90K个，ARP学习速率≥800个每秒，支持的MAC容量≥280K个，MAC学习速率≥3.5K个每秒，支持的ACL条目容量≥3K个，支持的IPv4 FIB容量≥100K，支持IPv6 FIB容量≥28K，支持的ND容量≥25K，支持的端口缓存≥2MBytes；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14、支持虚拟化功能，支持统一管理、故障收敛时间0ms等特性，堆叠跨框转发平均时延≤2us。10G端口时延≤1us。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标■参数要求提供具有CNAS标识的第三方检验报告或检测报告证明</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端口：≥24个10/100/1000Base-T以太网端口，≥4个1000Base-X以太网端口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交换容量：≥336Gbps/3.36Tbps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包转发率：≥108/126Mpps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MAC地址表：支持黑洞MAC地址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支持设置端口MAC地址学习最大个数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VLAN：支持基于端口的VLAN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支持QinQ、灵活QinQ、VLAN Mapping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ARP：支持ARP Detection功能，支持ARP限速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IPv4路由：支持 IPv4 静态路由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IPv6路由：支持 IPv6 静态路由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流量抑制：支持广播/多播/单播流量抑制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支持基于端口速率百分比的风暴抑制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支持基于PPS的风暴抑制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端口镜像：支持端口镜像、支持流镜像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QoS：支持SP/WRR/SP+WRR队列调度</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千兆10公里单模双纤模块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不分收发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TX1310nm/1.25G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RX1310nm/1.25G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SFP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发射光功率:-9～-3dBm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接收灵敏度（低值）:-21dBm</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400万双光摄像机</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2TB监控硬盘</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6类非屏蔽网线</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6类屏蔽网线</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LC-LC 3米</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安装费</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各种辅材、人工费包括（交换机安装、摄像机更换、汇聚-接入交换机网线铺设、更换设备线路标签制作等）</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8口POE交换机</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1、提供≥8个千兆PoE电口，≥1个千兆电口，≥1个千兆光口；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2、交换容量≥20 Gbps，包转发率≥14.88 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3、支持IEEE 802.3at/af；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4、端口最大供电功率≥30 W，整机最大供电功率≥110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5、支持6 KV防浪涌（PoE口）；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6、支持PoE输出功率管理；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7、支持线速转发、无阻塞设计、存储转发交换方式；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8、工作温度：0 °C ~ 40°C。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9、坚固式高强度金属外壳，无风扇设计，桌面式可壁挂。</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24口POE交换机</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提供≥24个千兆PoE电口，≥2个千兆光口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交换容量：≥56 Gbps,包转发率：≥41.67Mpps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支持IEEE 802.3at/af标准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端口最大供电功率：≥30 W，整机最大供电功率：≥370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支持PoE看门狗，支持PoE输出功率管理，支持远程升级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支持6 KV防浪涌（PoE口）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支持IEEE 802.3、IEEE 802.3u、IEEE 802.3x、IEEE 802.3ab、IEEE 802.3z标准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支持VLAN，支持SNMPv1/v2c协议支持DHCP Snooping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支持终端安全防护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坚固式高强度金属外壳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安装方式：机架式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机支持不同拓扑连接方式，包括网线连接、光纤连接、无线连接，支持通过管理平台和手机APP展示并管理交换机的拓扑，支持通过管理平台和手机APP在网络拓扑中展示交换机详情，包括基本信息、交换机性能使用信息、交换机面板状态、端口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管理平台和手机APP在交换机网络断开、电源故障、端口故障等异常情况时，能实时显示交换机告警内容，支持通过管理平台和手机APP对交换机进行POE功率管理，包括监控整机/端口功率，开启/关闭POE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标■参数要求提供具有CNAS标识的第三方检验报告或检测报告证明</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bookmarkEnd w:id="5"/>
    </w:tbl>
    <w:p>
      <w:pPr>
        <w:ind w:left="3204"/>
        <w:rPr>
          <w:rFonts w:hint="eastAsia" w:ascii="宋体" w:hAnsi="宋体" w:eastAsia="宋体" w:cs="宋体"/>
          <w:b/>
          <w:color w:val="000000"/>
          <w:sz w:val="24"/>
        </w:rPr>
      </w:pPr>
    </w:p>
    <w:p>
      <w:pPr>
        <w:ind w:left="3204"/>
        <w:rPr>
          <w:rFonts w:hint="eastAsia" w:ascii="宋体" w:hAnsi="宋体" w:eastAsia="宋体" w:cs="宋体"/>
          <w:b/>
          <w:color w:val="000000"/>
          <w:sz w:val="24"/>
        </w:rPr>
      </w:pPr>
    </w:p>
    <w:p>
      <w:pPr>
        <w:ind w:left="3204"/>
        <w:rPr>
          <w:rFonts w:hint="eastAsia" w:ascii="宋体" w:hAnsi="宋体" w:eastAsia="宋体" w:cs="宋体"/>
          <w:b/>
          <w:sz w:val="28"/>
          <w:szCs w:val="28"/>
          <w:lang w:val="en-US" w:eastAsia="zh-CN"/>
        </w:rPr>
      </w:pPr>
      <w:r>
        <w:rPr>
          <w:rFonts w:hint="eastAsia" w:ascii="宋体" w:hAnsi="宋体" w:eastAsia="宋体" w:cs="宋体"/>
          <w:b/>
          <w:color w:val="000000"/>
          <w:sz w:val="24"/>
        </w:rPr>
        <w:t>（二）技术参数（服务内容）</w:t>
      </w:r>
    </w:p>
    <w:p>
      <w:pPr>
        <w:spacing w:line="340" w:lineRule="exact"/>
        <w:rPr>
          <w:rFonts w:hint="eastAsia" w:ascii="宋体" w:hAnsi="宋体" w:eastAsia="宋体" w:cs="宋体"/>
          <w:b/>
          <w:bCs/>
          <w:sz w:val="20"/>
          <w:szCs w:val="20"/>
        </w:rPr>
      </w:pPr>
      <w:r>
        <w:rPr>
          <w:rFonts w:hint="eastAsia" w:ascii="宋体" w:hAnsi="宋体" w:eastAsia="宋体" w:cs="宋体"/>
          <w:b/>
          <w:bCs/>
          <w:sz w:val="20"/>
          <w:szCs w:val="20"/>
        </w:rPr>
        <w:t>项目概况：</w:t>
      </w:r>
    </w:p>
    <w:p>
      <w:pPr>
        <w:spacing w:line="340" w:lineRule="exact"/>
        <w:ind w:firstLine="400" w:firstLineChars="200"/>
        <w:rPr>
          <w:rFonts w:hint="eastAsia" w:ascii="宋体" w:hAnsi="宋体" w:eastAsia="宋体" w:cs="宋体"/>
          <w:sz w:val="20"/>
          <w:szCs w:val="20"/>
        </w:rPr>
      </w:pPr>
      <w:r>
        <w:rPr>
          <w:rFonts w:hint="eastAsia" w:ascii="宋体" w:hAnsi="宋体" w:eastAsia="宋体" w:cs="宋体"/>
          <w:sz w:val="20"/>
          <w:szCs w:val="20"/>
          <w:lang w:val="en-US" w:eastAsia="zh-CN"/>
        </w:rPr>
        <w:t>根据医院需求，现大部分监控安装时间较长，部分监控出现</w:t>
      </w:r>
      <w:bookmarkStart w:id="1" w:name="OLE_LINK5"/>
      <w:r>
        <w:rPr>
          <w:rFonts w:hint="eastAsia" w:ascii="宋体" w:hAnsi="宋体" w:eastAsia="宋体" w:cs="宋体"/>
          <w:sz w:val="20"/>
          <w:szCs w:val="20"/>
          <w:lang w:val="en-US" w:eastAsia="zh-CN"/>
        </w:rPr>
        <w:t>卡顿、模糊、时间无法同步等</w:t>
      </w:r>
      <w:bookmarkEnd w:id="1"/>
      <w:r>
        <w:rPr>
          <w:rFonts w:hint="eastAsia" w:ascii="宋体" w:hAnsi="宋体" w:eastAsia="宋体" w:cs="宋体"/>
          <w:sz w:val="20"/>
          <w:szCs w:val="20"/>
          <w:lang w:val="en-US" w:eastAsia="zh-CN"/>
        </w:rPr>
        <w:t>情况，而且两个网段不能互访，现需要彻底</w:t>
      </w:r>
      <w:bookmarkStart w:id="2" w:name="OLE_LINK6"/>
      <w:r>
        <w:rPr>
          <w:rFonts w:hint="eastAsia" w:ascii="宋体" w:hAnsi="宋体" w:eastAsia="宋体" w:cs="宋体"/>
          <w:sz w:val="20"/>
          <w:szCs w:val="20"/>
          <w:lang w:val="en-US" w:eastAsia="zh-CN"/>
        </w:rPr>
        <w:t>解决卡顿、模糊、时间无法同步、</w:t>
      </w:r>
      <w:bookmarkStart w:id="3" w:name="OLE_LINK8"/>
      <w:r>
        <w:rPr>
          <w:rFonts w:hint="eastAsia" w:ascii="宋体" w:hAnsi="宋体" w:eastAsia="宋体" w:cs="宋体"/>
          <w:sz w:val="20"/>
          <w:szCs w:val="20"/>
          <w:lang w:val="en-US" w:eastAsia="zh-CN"/>
        </w:rPr>
        <w:t>两个网段不能互访</w:t>
      </w:r>
      <w:bookmarkEnd w:id="3"/>
      <w:r>
        <w:rPr>
          <w:rFonts w:hint="eastAsia" w:ascii="宋体" w:hAnsi="宋体" w:eastAsia="宋体" w:cs="宋体"/>
          <w:sz w:val="20"/>
          <w:szCs w:val="20"/>
          <w:lang w:val="en-US" w:eastAsia="zh-CN"/>
        </w:rPr>
        <w:t>等问题</w:t>
      </w:r>
      <w:bookmarkEnd w:id="2"/>
      <w:r>
        <w:rPr>
          <w:rFonts w:hint="eastAsia" w:ascii="宋体" w:hAnsi="宋体" w:eastAsia="宋体" w:cs="宋体"/>
          <w:sz w:val="20"/>
          <w:szCs w:val="20"/>
        </w:rPr>
        <w:t>。</w:t>
      </w:r>
      <w:r>
        <w:rPr>
          <w:rFonts w:hint="eastAsia" w:ascii="宋体" w:hAnsi="宋体" w:eastAsia="宋体" w:cs="宋体"/>
          <w:sz w:val="20"/>
          <w:szCs w:val="20"/>
          <w:lang w:val="en-US" w:eastAsia="zh-CN"/>
        </w:rPr>
        <w:t>强烈</w:t>
      </w:r>
      <w:r>
        <w:rPr>
          <w:rFonts w:hint="eastAsia" w:ascii="宋体" w:hAnsi="宋体" w:eastAsia="宋体" w:cs="宋体"/>
          <w:sz w:val="20"/>
          <w:szCs w:val="20"/>
        </w:rPr>
        <w:t>建议现场调研，未到现场调研者，表示认可本案。</w:t>
      </w:r>
    </w:p>
    <w:p>
      <w:pPr>
        <w:spacing w:line="340" w:lineRule="exac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项目要求：</w:t>
      </w:r>
    </w:p>
    <w:p>
      <w:pPr>
        <w:keepNext w:val="0"/>
        <w:keepLines w:val="0"/>
        <w:pageBreakBefore w:val="0"/>
        <w:widowControl w:val="0"/>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1、给各类网络设备打上标签，要求标签清晰牢固，能够清楚显示设备功能、管理地址、设备配置VLAN等信息。</w:t>
      </w:r>
    </w:p>
    <w:p>
      <w:pPr>
        <w:keepNext w:val="0"/>
        <w:keepLines w:val="0"/>
        <w:pageBreakBefore w:val="0"/>
        <w:widowControl w:val="0"/>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2、每条线路需要进行打标处理，要求标识清楚数据流向和具体接入位置。</w:t>
      </w:r>
    </w:p>
    <w:p>
      <w:pPr>
        <w:keepNext w:val="0"/>
        <w:keepLines w:val="0"/>
        <w:pageBreakBefore w:val="0"/>
        <w:widowControl w:val="0"/>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3、在满足综合布线技术规范的前提下，尽可能简化网络分布结构，在实际改造工程中摸清监控网络架构，并整理出相关资料。</w:t>
      </w:r>
    </w:p>
    <w:p>
      <w:pPr>
        <w:keepNext w:val="0"/>
        <w:keepLines w:val="0"/>
        <w:pageBreakBefore w:val="0"/>
        <w:widowControl w:val="0"/>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4、本项目需彻底解决监控</w:t>
      </w:r>
      <w:bookmarkStart w:id="4" w:name="OLE_LINK7"/>
      <w:r>
        <w:rPr>
          <w:rFonts w:hint="eastAsia" w:ascii="宋体" w:hAnsi="宋体" w:eastAsia="宋体" w:cs="宋体"/>
          <w:sz w:val="20"/>
          <w:szCs w:val="20"/>
          <w:lang w:val="en-US" w:eastAsia="zh-CN"/>
        </w:rPr>
        <w:t>卡顿、模糊、时间无法同步、两个网段不能互访等一系列问题</w:t>
      </w:r>
      <w:bookmarkEnd w:id="4"/>
      <w:r>
        <w:rPr>
          <w:rFonts w:hint="eastAsia" w:ascii="宋体" w:hAnsi="宋体" w:eastAsia="宋体" w:cs="宋体"/>
          <w:sz w:val="20"/>
          <w:szCs w:val="20"/>
          <w:lang w:val="en-US" w:eastAsia="zh-CN"/>
        </w:rPr>
        <w:t>，采购清单商品只是参考，强烈建议现场调研，未调研者完成采购和安装后不能解决卡顿、模糊、时间无法同步等一系列问题由投标者承担后续购买设备和安装调试等费用。</w:t>
      </w:r>
    </w:p>
    <w:p>
      <w:pPr>
        <w:numPr>
          <w:ilvl w:val="0"/>
          <w:numId w:val="2"/>
        </w:numPr>
        <w:spacing w:line="48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供应商资质要求</w:t>
      </w:r>
    </w:p>
    <w:p>
      <w:pPr>
        <w:spacing w:line="34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1、具备《中华人民共和国政府采购法》第二十二条规定的条件:</w:t>
      </w:r>
    </w:p>
    <w:p>
      <w:pPr>
        <w:spacing w:line="34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2、本项目不接受联合体招标;</w:t>
      </w:r>
    </w:p>
    <w:p>
      <w:pPr>
        <w:spacing w:line="34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3、投标人须符合下列情形之一(不良行为记录以《马鞍山市公共资源交易主体不良行为信息处理暂行办法》(马公管(2016)35号)为准):</w:t>
      </w:r>
    </w:p>
    <w:p>
      <w:pPr>
        <w:spacing w:line="34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(1)开标日前两年内未被马鞍山市、县公共资源交易监督管理部门记不良行为记录或记不良行为记录累计未满5分的。</w:t>
      </w:r>
    </w:p>
    <w:p>
      <w:pPr>
        <w:spacing w:line="34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(2)最近一次被马鞍山市、县公共资源交易监督管理部门记不良行为记录累计记分达5分到9分(含9分)且公布日距日超过3个月。</w:t>
      </w:r>
    </w:p>
    <w:p>
      <w:pPr>
        <w:spacing w:line="34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(3)最近一次被马鞍山市、县公共资源交易监督管理部门记不良行为记录累计记分达10分到19分(含19分)且公布日距开标日超过6个月。</w:t>
      </w:r>
    </w:p>
    <w:p>
      <w:pPr>
        <w:spacing w:line="34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(4)最近一次被马鞍山市、县公共资源交易监督管理部门记不良行为记录累计记分达 20 分到29分(含29分)且公布日距开标日超过12个月。</w:t>
      </w:r>
    </w:p>
    <w:p>
      <w:pPr>
        <w:spacing w:line="34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(5)最近一次被马鞍山市、县公共资源交易监督管理部门记不良行为记录累计记分 30 分以上(含30分)且公布日距开标日超过 24个月。</w:t>
      </w:r>
    </w:p>
    <w:p>
      <w:pPr>
        <w:spacing w:line="340" w:lineRule="exact"/>
        <w:ind w:firstLine="480" w:firstLineChars="200"/>
        <w:rPr>
          <w:rFonts w:hint="eastAsia" w:ascii="宋体" w:hAnsi="宋体" w:eastAsia="宋体" w:cs="宋体"/>
          <w:sz w:val="24"/>
        </w:rPr>
      </w:pPr>
    </w:p>
    <w:p>
      <w:pPr>
        <w:numPr>
          <w:ilvl w:val="0"/>
          <w:numId w:val="1"/>
        </w:numPr>
        <w:spacing w:line="480" w:lineRule="exact"/>
        <w:ind w:left="0" w:leftChars="0" w:firstLine="0" w:firstLineChars="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商务要求</w:t>
      </w:r>
    </w:p>
    <w:p>
      <w:pPr>
        <w:spacing w:line="520" w:lineRule="exact"/>
        <w:ind w:firstLine="400" w:firstLineChars="200"/>
        <w:outlineLvl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1、质保及售后服务：</w:t>
      </w:r>
    </w:p>
    <w:p>
      <w:pPr>
        <w:spacing w:line="520" w:lineRule="exact"/>
        <w:ind w:firstLine="400" w:firstLineChars="200"/>
        <w:outlineLvl w:val="0"/>
        <w:rPr>
          <w:rFonts w:hint="eastAsia" w:ascii="宋体" w:hAnsi="宋体" w:eastAsia="宋体" w:cs="宋体"/>
          <w:sz w:val="20"/>
          <w:szCs w:val="20"/>
          <w:highlight w:val="yellow"/>
          <w:lang w:val="en-US" w:eastAsia="zh-CN"/>
        </w:rPr>
      </w:pPr>
      <w:r>
        <w:rPr>
          <w:rFonts w:hint="eastAsia" w:ascii="宋体" w:hAnsi="宋体" w:eastAsia="宋体" w:cs="宋体"/>
          <w:sz w:val="20"/>
          <w:szCs w:val="20"/>
          <w:lang w:val="en-US" w:eastAsia="zh-CN"/>
        </w:rPr>
        <w:t>1.1</w:t>
      </w:r>
      <w:r>
        <w:rPr>
          <w:rFonts w:hint="eastAsia" w:ascii="宋体" w:hAnsi="宋体" w:eastAsia="宋体" w:cs="宋体"/>
          <w:sz w:val="20"/>
          <w:szCs w:val="20"/>
          <w:highlight w:val="yellow"/>
          <w:lang w:val="en-US" w:eastAsia="zh-CN"/>
        </w:rPr>
        <w:t>中标人须提供产品至少1年的免费质保期（自验收合格之日起计算），所有质保费用均已包含在总报价中。中标人保证所供货物服务完全符合本合同规定的规格、性能，货物和服务质量及要求满足相关标准。如在验收、使用过程中出现商品本身质量问题，须无条件退换。</w:t>
      </w:r>
    </w:p>
    <w:p>
      <w:pPr>
        <w:spacing w:line="520" w:lineRule="exact"/>
        <w:ind w:firstLine="400" w:firstLineChars="200"/>
        <w:outlineLvl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1.2售后服务响应时间：中标人需设有专门的售后服务队伍，建立完备的故障响应机制。如出现服务问题，电话响应无法解决，中标人必须在接到电话3小时内到达现场并解决问题。</w:t>
      </w:r>
    </w:p>
    <w:p>
      <w:pPr>
        <w:spacing w:line="520" w:lineRule="exact"/>
        <w:ind w:firstLine="400" w:firstLineChars="200"/>
        <w:outlineLvl w:val="0"/>
        <w:rPr>
          <w:rFonts w:hint="eastAsia" w:ascii="宋体" w:hAnsi="宋体" w:eastAsia="宋体" w:cs="宋体"/>
          <w:sz w:val="20"/>
          <w:szCs w:val="20"/>
          <w:lang w:val="en-US" w:eastAsia="zh-CN"/>
        </w:rPr>
      </w:pPr>
      <w:r>
        <w:rPr>
          <w:rFonts w:hint="eastAsia" w:ascii="宋体" w:hAnsi="宋体" w:eastAsia="宋体" w:cs="宋体"/>
          <w:sz w:val="20"/>
          <w:szCs w:val="20"/>
          <w:highlight w:val="yellow"/>
          <w:lang w:val="en-US" w:eastAsia="zh-CN"/>
        </w:rPr>
        <w:t>2、交货期（工期）：合同签订限期两个星期内交货并安装调试完毕。</w:t>
      </w:r>
    </w:p>
    <w:p>
      <w:pPr>
        <w:numPr>
          <w:ilvl w:val="0"/>
          <w:numId w:val="0"/>
        </w:numPr>
        <w:spacing w:line="520" w:lineRule="exact"/>
        <w:ind w:firstLine="400" w:firstLineChars="200"/>
        <w:outlineLvl w:val="0"/>
        <w:rPr>
          <w:rFonts w:hint="eastAsia" w:ascii="宋体" w:hAnsi="宋体" w:eastAsia="宋体" w:cs="宋体"/>
          <w:sz w:val="20"/>
          <w:szCs w:val="20"/>
          <w:highlight w:val="yellow"/>
          <w:lang w:val="en-US" w:eastAsia="zh-CN"/>
        </w:rPr>
      </w:pPr>
      <w:r>
        <w:rPr>
          <w:rFonts w:hint="eastAsia" w:ascii="宋体" w:hAnsi="宋体" w:eastAsia="宋体" w:cs="宋体"/>
          <w:sz w:val="20"/>
          <w:szCs w:val="20"/>
          <w:highlight w:val="yellow"/>
          <w:lang w:val="en-US" w:eastAsia="zh-CN"/>
        </w:rPr>
        <w:t>3、付款方式：验收合格30日后，支付合同总价的95%，余款5%质保期满之后1个月内付清。</w:t>
      </w:r>
    </w:p>
    <w:p>
      <w:pPr>
        <w:numPr>
          <w:ilvl w:val="0"/>
          <w:numId w:val="0"/>
        </w:numPr>
        <w:spacing w:line="520" w:lineRule="exact"/>
        <w:ind w:firstLine="400" w:firstLineChars="200"/>
        <w:outlineLvl w:val="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4、交货地点：马鞍山市中医院。</w:t>
      </w:r>
    </w:p>
    <w:p>
      <w:pPr>
        <w:spacing w:line="520" w:lineRule="exact"/>
        <w:ind w:firstLine="400" w:firstLineChars="200"/>
        <w:outlineLvl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本项目总投标价包含了交付使用前的全部费用，包括货物购置费（所有设备、辅材、零配件、易损件、备品备件及专用工具等）、调试费、人工费、交通费、食宿费、管理费、运输费、保险费、质保期内的维护维修费、培训费、验收费、其他费用（如包装费、仓储费、保管费、资料费以及完成本项目所需要的其他费用）及所有价内价外税金及合理利润等。</w:t>
      </w:r>
      <w:bookmarkEnd w:id="0"/>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E46E2"/>
    <w:multiLevelType w:val="singleLevel"/>
    <w:tmpl w:val="294E46E2"/>
    <w:lvl w:ilvl="0" w:tentative="0">
      <w:start w:val="2"/>
      <w:numFmt w:val="chineseCounting"/>
      <w:suff w:val="nothing"/>
      <w:lvlText w:val="（%1）"/>
      <w:lvlJc w:val="left"/>
      <w:rPr>
        <w:rFonts w:hint="eastAsia"/>
      </w:rPr>
    </w:lvl>
  </w:abstractNum>
  <w:abstractNum w:abstractNumId="1">
    <w:nsid w:val="60BBCA32"/>
    <w:multiLevelType w:val="singleLevel"/>
    <w:tmpl w:val="60BBCA3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20A3257"/>
    <w:rsid w:val="052A3046"/>
    <w:rsid w:val="05EB0880"/>
    <w:rsid w:val="062E4AEA"/>
    <w:rsid w:val="06E339B1"/>
    <w:rsid w:val="07E96A1E"/>
    <w:rsid w:val="0A6C6349"/>
    <w:rsid w:val="187263AC"/>
    <w:rsid w:val="1C7F35CF"/>
    <w:rsid w:val="200B3B6B"/>
    <w:rsid w:val="20230655"/>
    <w:rsid w:val="21072CC7"/>
    <w:rsid w:val="2214117B"/>
    <w:rsid w:val="22F722B3"/>
    <w:rsid w:val="28901CFF"/>
    <w:rsid w:val="2F3A581B"/>
    <w:rsid w:val="30C2420B"/>
    <w:rsid w:val="310E58A1"/>
    <w:rsid w:val="322F2D66"/>
    <w:rsid w:val="32354DFC"/>
    <w:rsid w:val="323653FE"/>
    <w:rsid w:val="3B326DB3"/>
    <w:rsid w:val="3C4E2A76"/>
    <w:rsid w:val="3D94095C"/>
    <w:rsid w:val="40147341"/>
    <w:rsid w:val="42917E16"/>
    <w:rsid w:val="4D20467D"/>
    <w:rsid w:val="50146947"/>
    <w:rsid w:val="51F635A0"/>
    <w:rsid w:val="5C013209"/>
    <w:rsid w:val="5C6B760E"/>
    <w:rsid w:val="5FF608A7"/>
    <w:rsid w:val="602D5FC1"/>
    <w:rsid w:val="608A34B1"/>
    <w:rsid w:val="63D95EC9"/>
    <w:rsid w:val="6C6E4B04"/>
    <w:rsid w:val="6D8E7496"/>
    <w:rsid w:val="735C50AE"/>
    <w:rsid w:val="73E8476A"/>
    <w:rsid w:val="73F364FA"/>
    <w:rsid w:val="74EE54C4"/>
    <w:rsid w:val="750730DA"/>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rPr>
      <w:kern w:val="0"/>
      <w:sz w:val="20"/>
      <w:szCs w:val="24"/>
    </w:rPr>
  </w:style>
  <w:style w:type="paragraph" w:styleId="5">
    <w:name w:val="Body Text"/>
    <w:basedOn w:val="1"/>
    <w:link w:val="24"/>
    <w:qFormat/>
    <w:uiPriority w:val="0"/>
    <w:pPr>
      <w:jc w:val="left"/>
    </w:pPr>
    <w:rPr>
      <w:rFonts w:ascii="Arial" w:hAnsi="Arial" w:eastAsia="黑体"/>
      <w:b/>
      <w:sz w:val="32"/>
    </w:rPr>
  </w:style>
  <w:style w:type="paragraph" w:styleId="6">
    <w:name w:val="Body Text Indent"/>
    <w:basedOn w:val="1"/>
    <w:link w:val="25"/>
    <w:semiHidden/>
    <w:unhideWhenUsed/>
    <w:qFormat/>
    <w:uiPriority w:val="99"/>
    <w:pPr>
      <w:spacing w:after="120"/>
      <w:ind w:left="420" w:leftChars="200"/>
    </w:pPr>
  </w:style>
  <w:style w:type="paragraph" w:styleId="7">
    <w:name w:val="Date"/>
    <w:basedOn w:val="1"/>
    <w:next w:val="1"/>
    <w:link w:val="22"/>
    <w:semiHidden/>
    <w:unhideWhenUsed/>
    <w:qFormat/>
    <w:uiPriority w:val="99"/>
    <w:pPr>
      <w:ind w:left="100" w:leftChars="2500"/>
    </w:pPr>
  </w:style>
  <w:style w:type="paragraph" w:styleId="8">
    <w:name w:val="Body Text Indent 2"/>
    <w:basedOn w:val="1"/>
    <w:qFormat/>
    <w:uiPriority w:val="0"/>
    <w:pPr>
      <w:spacing w:after="120" w:line="480" w:lineRule="auto"/>
      <w:ind w:left="420" w:leftChars="200"/>
    </w:pPr>
    <w:rPr>
      <w:rFonts w:ascii="宋体"/>
      <w:sz w:val="32"/>
      <w:szCs w:val="22"/>
    </w:r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pPr>
    <w:rPr>
      <w:rFonts w:ascii="Calibri" w:hAnsi="Calibri" w:eastAsia="宋体" w:cs="Times New Roman"/>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link w:val="26"/>
    <w:semiHidden/>
    <w:unhideWhenUsed/>
    <w:qFormat/>
    <w:uiPriority w:val="99"/>
    <w:pPr>
      <w:ind w:firstLine="420" w:firstLineChars="200"/>
    </w:pPr>
  </w:style>
  <w:style w:type="character" w:styleId="17">
    <w:name w:val="page number"/>
    <w:semiHidden/>
    <w:unhideWhenUsed/>
    <w:qFormat/>
    <w:uiPriority w:val="99"/>
    <w:rPr>
      <w:rFonts w:cs="Times New Roman"/>
    </w:rPr>
  </w:style>
  <w:style w:type="character" w:styleId="18">
    <w:name w:val="Hyperlink"/>
    <w:basedOn w:val="16"/>
    <w:unhideWhenUsed/>
    <w:qFormat/>
    <w:uiPriority w:val="99"/>
    <w:rPr>
      <w:color w:val="0000FF"/>
      <w:u w:val="single"/>
    </w:rPr>
  </w:style>
  <w:style w:type="paragraph" w:customStyle="1" w:styleId="19">
    <w:name w:val="List Paragraph"/>
    <w:basedOn w:val="1"/>
    <w:qFormat/>
    <w:uiPriority w:val="34"/>
    <w:pPr>
      <w:ind w:firstLine="420" w:firstLineChars="200"/>
    </w:pPr>
    <w:rPr>
      <w:rFonts w:ascii="Times New Roman" w:hAnsi="Times New Roman" w:eastAsia="宋体" w:cs="Times New Roman"/>
      <w:szCs w:val="24"/>
    </w:rPr>
  </w:style>
  <w:style w:type="character" w:customStyle="1" w:styleId="20">
    <w:name w:val="页眉 Char"/>
    <w:basedOn w:val="16"/>
    <w:link w:val="11"/>
    <w:semiHidden/>
    <w:qFormat/>
    <w:uiPriority w:val="99"/>
    <w:rPr>
      <w:sz w:val="18"/>
      <w:szCs w:val="18"/>
    </w:rPr>
  </w:style>
  <w:style w:type="character" w:customStyle="1" w:styleId="21">
    <w:name w:val="页脚 Char"/>
    <w:basedOn w:val="16"/>
    <w:link w:val="10"/>
    <w:qFormat/>
    <w:uiPriority w:val="0"/>
    <w:rPr>
      <w:sz w:val="18"/>
      <w:szCs w:val="18"/>
    </w:rPr>
  </w:style>
  <w:style w:type="character" w:customStyle="1" w:styleId="22">
    <w:name w:val="日期 Char"/>
    <w:basedOn w:val="16"/>
    <w:link w:val="7"/>
    <w:semiHidden/>
    <w:qFormat/>
    <w:uiPriority w:val="99"/>
  </w:style>
  <w:style w:type="character" w:customStyle="1" w:styleId="23">
    <w:name w:val="正文文本 Char"/>
    <w:link w:val="5"/>
    <w:qFormat/>
    <w:locked/>
    <w:uiPriority w:val="0"/>
    <w:rPr>
      <w:rFonts w:ascii="Arial" w:hAnsi="Arial" w:eastAsia="黑体"/>
      <w:b/>
      <w:sz w:val="32"/>
    </w:rPr>
  </w:style>
  <w:style w:type="character" w:customStyle="1" w:styleId="24">
    <w:name w:val="正文文本 Char1"/>
    <w:basedOn w:val="16"/>
    <w:link w:val="5"/>
    <w:semiHidden/>
    <w:qFormat/>
    <w:uiPriority w:val="99"/>
  </w:style>
  <w:style w:type="character" w:customStyle="1" w:styleId="25">
    <w:name w:val="正文文本缩进 Char"/>
    <w:basedOn w:val="16"/>
    <w:link w:val="6"/>
    <w:semiHidden/>
    <w:qFormat/>
    <w:uiPriority w:val="99"/>
  </w:style>
  <w:style w:type="character" w:customStyle="1" w:styleId="26">
    <w:name w:val="正文首行缩进 2 Char"/>
    <w:basedOn w:val="25"/>
    <w:link w:val="14"/>
    <w:semiHidden/>
    <w:qFormat/>
    <w:uiPriority w:val="99"/>
  </w:style>
  <w:style w:type="character" w:customStyle="1" w:styleId="27">
    <w:name w:val="批注框文本 Char"/>
    <w:basedOn w:val="16"/>
    <w:link w:val="9"/>
    <w:semiHidden/>
    <w:qFormat/>
    <w:uiPriority w:val="99"/>
    <w:rPr>
      <w:sz w:val="18"/>
      <w:szCs w:val="18"/>
    </w:rPr>
  </w:style>
  <w:style w:type="paragraph" w:customStyle="1" w:styleId="28">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9">
    <w:name w:val="目录 21"/>
    <w:basedOn w:val="1"/>
    <w:qFormat/>
    <w:uiPriority w:val="0"/>
    <w:pPr>
      <w:ind w:left="420"/>
    </w:pPr>
    <w:rPr>
      <w:rFonts w:eastAsia="仿宋_GB2312"/>
      <w:b/>
      <w:sz w:val="24"/>
    </w:rPr>
  </w:style>
  <w:style w:type="character" w:customStyle="1" w:styleId="30">
    <w:name w:val="标题 1 Char"/>
    <w:basedOn w:val="16"/>
    <w:link w:val="3"/>
    <w:qFormat/>
    <w:uiPriority w:val="0"/>
    <w:rPr>
      <w:rFonts w:ascii="Times New Roman" w:hAnsi="Times New Roman" w:eastAsia="黑体"/>
      <w:b/>
      <w:bCs/>
      <w:kern w:val="44"/>
      <w:sz w:val="30"/>
      <w:szCs w:val="44"/>
    </w:rPr>
  </w:style>
  <w:style w:type="character" w:customStyle="1" w:styleId="31">
    <w:name w:val="font101"/>
    <w:basedOn w:val="16"/>
    <w:qFormat/>
    <w:uiPriority w:val="0"/>
    <w:rPr>
      <w:rFonts w:hint="eastAsia" w:ascii="宋体" w:hAnsi="宋体" w:eastAsia="宋体" w:cs="宋体"/>
      <w:color w:val="FF0000"/>
      <w:sz w:val="20"/>
      <w:szCs w:val="20"/>
      <w:u w:val="none"/>
    </w:rPr>
  </w:style>
  <w:style w:type="paragraph" w:customStyle="1" w:styleId="32">
    <w:name w:val="节标题"/>
    <w:basedOn w:val="1"/>
    <w:next w:val="1"/>
    <w:qFormat/>
    <w:uiPriority w:val="0"/>
    <w:pPr>
      <w:widowControl/>
      <w:spacing w:line="289" w:lineRule="atLeast"/>
      <w:jc w:val="center"/>
      <w:textAlignment w:val="baseline"/>
    </w:pPr>
    <w:rPr>
      <w:color w:val="000000"/>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3211</Words>
  <Characters>3781</Characters>
  <Lines>6</Lines>
  <Paragraphs>1</Paragraphs>
  <TotalTime>1</TotalTime>
  <ScaleCrop>false</ScaleCrop>
  <LinksUpToDate>false</LinksUpToDate>
  <CharactersWithSpaces>4008</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2025-06-03T03:46:35Z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5454054EEDDD420495B91241D8CDEB4A</vt:lpwstr>
  </property>
  <property fmtid="{D5CDD505-2E9C-101B-9397-08002B2CF9AE}" pid="4" name="KSOTemplateDocerSaveRecord">
    <vt:lpwstr>eyJoZGlkIjoiNDM3MTYzMDhhOTc5YTExMzg1YTM0MTdhNjM0ZDllMjgiLCJ1c2VySWQiOiI0MzkxNjI2NzYifQ==</vt:lpwstr>
  </property>
</Properties>
</file>