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马鞍山市中医院能源托管评估服务项目内容及相关要求</w:t>
      </w:r>
    </w:p>
    <w:p>
      <w:pPr>
        <w:numPr>
          <w:ilvl w:val="0"/>
          <w:numId w:val="1"/>
        </w:numPr>
        <w:tabs>
          <w:tab w:val="left" w:pos="1050"/>
        </w:tabs>
        <w:spacing w:line="460" w:lineRule="exact"/>
        <w:jc w:val="center"/>
        <w:outlineLvl w:val="2"/>
        <w:rPr>
          <w:rFonts w:hint="eastAsia"/>
          <w:b/>
          <w:sz w:val="28"/>
          <w:szCs w:val="28"/>
          <w:lang w:val="en-US" w:eastAsia="zh-CN"/>
        </w:rPr>
      </w:pPr>
      <w:r>
        <w:rPr>
          <w:rFonts w:hint="eastAsia"/>
          <w:b/>
          <w:sz w:val="28"/>
          <w:szCs w:val="28"/>
          <w:lang w:val="en-US" w:eastAsia="zh-CN"/>
        </w:rPr>
        <w:t>采购预算</w:t>
      </w:r>
    </w:p>
    <w:p>
      <w:pPr>
        <w:spacing w:line="340" w:lineRule="exact"/>
        <w:ind w:firstLine="480" w:firstLineChars="200"/>
        <w:jc w:val="left"/>
        <w:rPr>
          <w:rFonts w:hint="eastAsia" w:ascii="宋体" w:hAnsi="宋体" w:eastAsia="宋体"/>
          <w:sz w:val="24"/>
          <w:lang w:val="en-US" w:eastAsia="zh-CN"/>
        </w:rPr>
      </w:pPr>
      <w:r>
        <w:rPr>
          <w:rFonts w:hint="eastAsia" w:ascii="宋体" w:hAnsi="宋体" w:eastAsia="宋体"/>
          <w:sz w:val="24"/>
        </w:rPr>
        <w:t>预算金额</w:t>
      </w:r>
      <w:r>
        <w:rPr>
          <w:rFonts w:hint="eastAsia" w:ascii="宋体" w:hAnsi="宋体"/>
          <w:sz w:val="24"/>
          <w:lang w:eastAsia="zh-CN"/>
        </w:rPr>
        <w:t>（</w:t>
      </w:r>
      <w:r>
        <w:rPr>
          <w:rFonts w:hint="eastAsia" w:ascii="宋体" w:hAnsi="宋体"/>
          <w:sz w:val="24"/>
          <w:lang w:val="en-US" w:eastAsia="zh-CN"/>
        </w:rPr>
        <w:t>人民币）</w:t>
      </w:r>
      <w:r>
        <w:rPr>
          <w:rFonts w:hint="eastAsia" w:ascii="宋体" w:hAnsi="宋体" w:eastAsia="宋体"/>
          <w:sz w:val="24"/>
        </w:rPr>
        <w:t>：</w:t>
      </w:r>
      <w:r>
        <w:rPr>
          <w:rFonts w:hint="eastAsia" w:ascii="宋体" w:hAnsi="宋体"/>
          <w:sz w:val="24"/>
          <w:lang w:val="en-US" w:eastAsia="zh-CN"/>
        </w:rPr>
        <w:t>4</w:t>
      </w:r>
      <w:r>
        <w:rPr>
          <w:rFonts w:hint="eastAsia" w:ascii="宋体" w:hAnsi="宋体" w:eastAsia="宋体"/>
          <w:sz w:val="24"/>
          <w:lang w:val="en-US" w:eastAsia="zh-CN"/>
        </w:rPr>
        <w:t>万元</w:t>
      </w:r>
      <w:r>
        <w:rPr>
          <w:rFonts w:hint="eastAsia" w:ascii="宋体" w:hAnsi="宋体" w:eastAsia="宋体"/>
          <w:sz w:val="24"/>
        </w:rPr>
        <w:t>；最高限价（人民币）：</w:t>
      </w:r>
      <w:r>
        <w:rPr>
          <w:rFonts w:hint="eastAsia" w:ascii="宋体" w:hAnsi="宋体"/>
          <w:sz w:val="24"/>
          <w:lang w:val="en-US" w:eastAsia="zh-CN"/>
        </w:rPr>
        <w:t>4</w:t>
      </w:r>
      <w:r>
        <w:rPr>
          <w:rFonts w:hint="eastAsia" w:ascii="宋体" w:hAnsi="宋体" w:eastAsia="宋体"/>
          <w:sz w:val="24"/>
          <w:lang w:val="en-US" w:eastAsia="zh-CN"/>
        </w:rPr>
        <w:t>万元。</w:t>
      </w:r>
    </w:p>
    <w:p>
      <w:pPr>
        <w:numPr>
          <w:ilvl w:val="0"/>
          <w:numId w:val="1"/>
        </w:numPr>
        <w:spacing w:line="480" w:lineRule="exact"/>
        <w:ind w:left="0" w:leftChars="0" w:firstLine="0" w:firstLineChars="0"/>
        <w:jc w:val="center"/>
        <w:rPr>
          <w:rFonts w:hint="eastAsia"/>
          <w:b/>
          <w:sz w:val="28"/>
          <w:szCs w:val="28"/>
          <w:lang w:val="en-US" w:eastAsia="zh-CN"/>
        </w:rPr>
      </w:pPr>
      <w:bookmarkStart w:id="0" w:name="_Toc26868"/>
      <w:r>
        <w:rPr>
          <w:rFonts w:hint="eastAsia"/>
          <w:b/>
          <w:sz w:val="28"/>
          <w:szCs w:val="28"/>
          <w:lang w:val="en-US" w:eastAsia="zh-CN"/>
        </w:rPr>
        <w:t>采购内容及相关要求</w:t>
      </w:r>
    </w:p>
    <w:p>
      <w:pPr>
        <w:spacing w:line="480" w:lineRule="exact"/>
        <w:jc w:val="center"/>
        <w:rPr>
          <w:rFonts w:hint="default"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（一）采购清单</w:t>
      </w:r>
      <w:bookmarkStart w:id="1" w:name="_GoBack"/>
      <w:bookmarkEnd w:id="1"/>
    </w:p>
    <w:tbl>
      <w:tblPr>
        <w:tblStyle w:val="15"/>
        <w:tblpPr w:leftFromText="180" w:rightFromText="180" w:vertAnchor="text" w:horzAnchor="page" w:tblpX="2130" w:tblpY="40"/>
        <w:tblOverlap w:val="never"/>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51"/>
        <w:gridCol w:w="1031"/>
        <w:gridCol w:w="1181"/>
        <w:gridCol w:w="166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900" w:type="dxa"/>
            <w:noWrap/>
            <w:vAlign w:val="center"/>
          </w:tcPr>
          <w:p>
            <w:pPr>
              <w:spacing w:line="560" w:lineRule="exact"/>
              <w:jc w:val="center"/>
              <w:rPr>
                <w:rFonts w:ascii="宋体" w:hAnsi="宋体"/>
                <w:b/>
                <w:sz w:val="24"/>
              </w:rPr>
            </w:pPr>
            <w:r>
              <w:rPr>
                <w:rFonts w:hint="eastAsia" w:ascii="宋体" w:hAnsi="宋体"/>
                <w:b/>
                <w:sz w:val="24"/>
              </w:rPr>
              <w:t>序号</w:t>
            </w:r>
          </w:p>
        </w:tc>
        <w:tc>
          <w:tcPr>
            <w:tcW w:w="2151" w:type="dxa"/>
            <w:noWrap/>
            <w:vAlign w:val="center"/>
          </w:tcPr>
          <w:p>
            <w:pPr>
              <w:spacing w:line="560" w:lineRule="exact"/>
              <w:jc w:val="center"/>
              <w:rPr>
                <w:rFonts w:hint="eastAsia" w:ascii="宋体" w:hAnsi="宋体"/>
                <w:b/>
                <w:sz w:val="24"/>
              </w:rPr>
            </w:pPr>
            <w:r>
              <w:rPr>
                <w:rFonts w:hint="eastAsia" w:ascii="宋体" w:hAnsi="宋体"/>
                <w:b/>
                <w:sz w:val="24"/>
              </w:rPr>
              <w:t>货物名称</w:t>
            </w:r>
          </w:p>
          <w:p>
            <w:pPr>
              <w:spacing w:line="560" w:lineRule="exact"/>
              <w:jc w:val="center"/>
              <w:rPr>
                <w:rFonts w:ascii="宋体" w:hAnsi="宋体"/>
                <w:b/>
                <w:sz w:val="24"/>
              </w:rPr>
            </w:pPr>
            <w:r>
              <w:rPr>
                <w:rFonts w:hint="eastAsia" w:ascii="宋体" w:hAnsi="宋体"/>
                <w:b/>
                <w:sz w:val="24"/>
              </w:rPr>
              <w:t>（标的名称）</w:t>
            </w:r>
          </w:p>
        </w:tc>
        <w:tc>
          <w:tcPr>
            <w:tcW w:w="1031" w:type="dxa"/>
            <w:noWrap/>
            <w:vAlign w:val="center"/>
          </w:tcPr>
          <w:p>
            <w:pPr>
              <w:spacing w:line="560" w:lineRule="exact"/>
              <w:jc w:val="center"/>
              <w:rPr>
                <w:rFonts w:hint="eastAsia" w:ascii="宋体" w:hAnsi="宋体" w:eastAsia="宋体"/>
                <w:b/>
                <w:sz w:val="24"/>
                <w:lang w:val="en-US" w:eastAsia="zh-CN"/>
              </w:rPr>
            </w:pPr>
            <w:r>
              <w:rPr>
                <w:rFonts w:hint="eastAsia" w:ascii="宋体" w:hAnsi="宋体"/>
                <w:b/>
                <w:sz w:val="24"/>
                <w:lang w:val="en-US" w:eastAsia="zh-CN"/>
              </w:rPr>
              <w:t>数量</w:t>
            </w:r>
          </w:p>
        </w:tc>
        <w:tc>
          <w:tcPr>
            <w:tcW w:w="1181" w:type="dxa"/>
            <w:noWrap/>
            <w:vAlign w:val="center"/>
          </w:tcPr>
          <w:p>
            <w:pPr>
              <w:spacing w:line="560" w:lineRule="exact"/>
              <w:jc w:val="center"/>
              <w:rPr>
                <w:rFonts w:ascii="宋体" w:hAnsi="宋体"/>
                <w:b/>
                <w:sz w:val="24"/>
              </w:rPr>
            </w:pPr>
            <w:r>
              <w:rPr>
                <w:rFonts w:hint="eastAsia" w:ascii="宋体" w:hAnsi="宋体"/>
                <w:b/>
                <w:sz w:val="24"/>
              </w:rPr>
              <w:t>单位</w:t>
            </w:r>
          </w:p>
        </w:tc>
        <w:tc>
          <w:tcPr>
            <w:tcW w:w="1669" w:type="dxa"/>
            <w:noWrap/>
            <w:vAlign w:val="center"/>
          </w:tcPr>
          <w:p>
            <w:pPr>
              <w:spacing w:line="560" w:lineRule="exact"/>
              <w:jc w:val="center"/>
              <w:rPr>
                <w:rFonts w:ascii="宋体" w:hAnsi="宋体"/>
                <w:b/>
                <w:sz w:val="24"/>
              </w:rPr>
            </w:pPr>
            <w:r>
              <w:rPr>
                <w:rFonts w:hint="eastAsia" w:ascii="宋体" w:hAnsi="宋体"/>
                <w:b/>
                <w:sz w:val="24"/>
              </w:rPr>
              <w:t>单价（元）</w:t>
            </w:r>
          </w:p>
        </w:tc>
        <w:tc>
          <w:tcPr>
            <w:tcW w:w="1985" w:type="dxa"/>
            <w:noWrap/>
            <w:vAlign w:val="center"/>
          </w:tcPr>
          <w:p>
            <w:pPr>
              <w:spacing w:line="560" w:lineRule="exact"/>
              <w:jc w:val="center"/>
              <w:rPr>
                <w:rFonts w:hint="eastAsia" w:ascii="宋体" w:hAnsi="宋体"/>
                <w:b/>
                <w:sz w:val="24"/>
              </w:rPr>
            </w:pPr>
            <w:r>
              <w:rPr>
                <w:rFonts w:hint="eastAsia" w:ascii="宋体" w:hAnsi="宋体"/>
                <w:b/>
                <w:sz w:val="24"/>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900" w:type="dxa"/>
            <w:shd w:val="clear" w:color="auto" w:fill="auto"/>
            <w:noWrap/>
            <w:vAlign w:val="center"/>
          </w:tcPr>
          <w:p>
            <w:pPr>
              <w:spacing w:line="560" w:lineRule="exact"/>
              <w:jc w:val="center"/>
              <w:rPr>
                <w:rFonts w:ascii="宋体" w:hAnsi="宋体"/>
                <w:bCs/>
                <w:sz w:val="24"/>
              </w:rPr>
            </w:pPr>
            <w:r>
              <w:rPr>
                <w:rFonts w:hint="eastAsia" w:ascii="宋体" w:hAnsi="宋体"/>
                <w:bCs/>
                <w:sz w:val="24"/>
              </w:rPr>
              <w:t>1</w:t>
            </w:r>
          </w:p>
        </w:tc>
        <w:tc>
          <w:tcPr>
            <w:tcW w:w="2151" w:type="dxa"/>
            <w:shd w:val="clear" w:color="auto" w:fill="FFFFFF"/>
            <w:noWrap/>
            <w:vAlign w:val="center"/>
          </w:tcPr>
          <w:p>
            <w:pPr>
              <w:spacing w:line="340" w:lineRule="exact"/>
              <w:jc w:val="left"/>
              <w:rPr>
                <w:rFonts w:hint="eastAsia" w:ascii="宋体" w:hAnsi="宋体" w:eastAsia="宋体"/>
                <w:sz w:val="24"/>
              </w:rPr>
            </w:pPr>
            <w:r>
              <w:rPr>
                <w:rFonts w:hint="eastAsia" w:ascii="宋体" w:hAnsi="宋体" w:eastAsia="宋体"/>
                <w:sz w:val="24"/>
              </w:rPr>
              <w:t>马鞍山市中医院能源托管评估服务</w:t>
            </w:r>
          </w:p>
        </w:tc>
        <w:tc>
          <w:tcPr>
            <w:tcW w:w="1031" w:type="dxa"/>
            <w:shd w:val="clear" w:color="auto" w:fill="FFFFFF"/>
            <w:noWrap/>
            <w:vAlign w:val="center"/>
          </w:tcPr>
          <w:p>
            <w:pPr>
              <w:spacing w:line="340" w:lineRule="exact"/>
              <w:ind w:firstLine="240" w:firstLineChars="100"/>
              <w:jc w:val="left"/>
              <w:rPr>
                <w:rFonts w:hint="default" w:ascii="宋体" w:hAnsi="宋体" w:eastAsia="宋体"/>
                <w:sz w:val="24"/>
                <w:lang w:val="en-US" w:eastAsia="zh-CN"/>
              </w:rPr>
            </w:pPr>
            <w:r>
              <w:rPr>
                <w:rFonts w:hint="eastAsia" w:ascii="宋体" w:hAnsi="宋体" w:eastAsia="宋体"/>
                <w:sz w:val="24"/>
                <w:lang w:val="en-US" w:eastAsia="zh-CN"/>
              </w:rPr>
              <w:t>1</w:t>
            </w:r>
          </w:p>
        </w:tc>
        <w:tc>
          <w:tcPr>
            <w:tcW w:w="1181" w:type="dxa"/>
            <w:shd w:val="clear" w:color="auto" w:fill="FFFFFF"/>
            <w:noWrap/>
            <w:vAlign w:val="center"/>
          </w:tcPr>
          <w:p>
            <w:pPr>
              <w:spacing w:line="340" w:lineRule="exact"/>
              <w:ind w:firstLine="240" w:firstLineChars="100"/>
              <w:jc w:val="left"/>
              <w:rPr>
                <w:rFonts w:hint="eastAsia" w:ascii="宋体" w:hAnsi="宋体" w:eastAsia="宋体"/>
                <w:sz w:val="24"/>
                <w:lang w:val="en-US" w:eastAsia="zh-CN"/>
              </w:rPr>
            </w:pPr>
            <w:r>
              <w:rPr>
                <w:rFonts w:hint="eastAsia" w:ascii="宋体" w:hAnsi="宋体" w:eastAsia="宋体"/>
                <w:sz w:val="24"/>
                <w:lang w:val="en-US" w:eastAsia="zh-CN"/>
              </w:rPr>
              <w:t>项</w:t>
            </w:r>
          </w:p>
        </w:tc>
        <w:tc>
          <w:tcPr>
            <w:tcW w:w="1669" w:type="dxa"/>
            <w:noWrap/>
            <w:vAlign w:val="center"/>
          </w:tcPr>
          <w:p>
            <w:pPr>
              <w:spacing w:line="340" w:lineRule="exact"/>
              <w:ind w:firstLine="480" w:firstLineChars="200"/>
              <w:jc w:val="left"/>
              <w:rPr>
                <w:rFonts w:hint="eastAsia" w:ascii="宋体" w:hAnsi="宋体" w:eastAsia="宋体"/>
                <w:sz w:val="24"/>
              </w:rPr>
            </w:pPr>
            <w:r>
              <w:rPr>
                <w:rFonts w:hint="eastAsia" w:ascii="宋体" w:hAnsi="宋体" w:eastAsia="宋体"/>
                <w:sz w:val="24"/>
              </w:rPr>
              <w:t>40000</w:t>
            </w:r>
          </w:p>
        </w:tc>
        <w:tc>
          <w:tcPr>
            <w:tcW w:w="1985" w:type="dxa"/>
            <w:noWrap/>
            <w:vAlign w:val="center"/>
          </w:tcPr>
          <w:p>
            <w:pPr>
              <w:spacing w:line="340" w:lineRule="exact"/>
              <w:ind w:firstLine="720" w:firstLineChars="300"/>
              <w:jc w:val="left"/>
              <w:rPr>
                <w:rFonts w:hint="eastAsia" w:ascii="宋体" w:hAnsi="宋体" w:eastAsia="宋体"/>
                <w:sz w:val="24"/>
              </w:rPr>
            </w:pPr>
            <w:r>
              <w:rPr>
                <w:rFonts w:hint="eastAsia" w:ascii="宋体" w:hAnsi="宋体" w:eastAsia="宋体"/>
                <w:sz w:val="24"/>
              </w:rPr>
              <w:t>4</w:t>
            </w:r>
          </w:p>
        </w:tc>
      </w:tr>
    </w:tbl>
    <w:p>
      <w:pPr>
        <w:numPr>
          <w:ilvl w:val="0"/>
          <w:numId w:val="2"/>
        </w:numPr>
        <w:spacing w:line="480" w:lineRule="exact"/>
        <w:jc w:val="center"/>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技术参数（服务内容）</w:t>
      </w:r>
    </w:p>
    <w:p>
      <w:pPr>
        <w:spacing w:line="340" w:lineRule="exact"/>
        <w:ind w:firstLine="480" w:firstLineChars="200"/>
        <w:jc w:val="left"/>
        <w:rPr>
          <w:rFonts w:hint="eastAsia" w:ascii="宋体" w:hAnsi="宋体" w:eastAsia="宋体"/>
          <w:sz w:val="24"/>
        </w:rPr>
      </w:pPr>
      <w:r>
        <w:rPr>
          <w:rFonts w:hint="eastAsia" w:ascii="宋体" w:hAnsi="宋体" w:eastAsia="宋体"/>
          <w:sz w:val="24"/>
        </w:rPr>
        <w:t>项目概况：马鞍山市中医院（南院+东院）能源托管评估服务项目。马鞍山市中医院南院：建筑面积约48563平方米，其中门急诊、医技楼（1号楼）7642平方米，专家门诊综合楼（2号楼）3464平方米，综合楼（4号楼）22804平方米，病房楼（3号楼）11228.00平方米，后勤楼（5号楼）、锅炉房2775.00平方米，污水处理用房594.00平方米、垃圾站55.50平方米。</w:t>
      </w:r>
    </w:p>
    <w:p>
      <w:pPr>
        <w:spacing w:line="340" w:lineRule="exact"/>
        <w:ind w:firstLine="480" w:firstLineChars="200"/>
        <w:jc w:val="left"/>
        <w:rPr>
          <w:rFonts w:hint="eastAsia" w:ascii="宋体" w:hAnsi="宋体" w:eastAsia="宋体"/>
          <w:sz w:val="24"/>
        </w:rPr>
      </w:pPr>
      <w:r>
        <w:rPr>
          <w:rFonts w:hint="eastAsia" w:ascii="宋体" w:hAnsi="宋体" w:eastAsia="宋体"/>
          <w:sz w:val="24"/>
        </w:rPr>
        <w:t>马鞍山市中医院东院：建筑面积约6860.48平方米。</w:t>
      </w:r>
    </w:p>
    <w:p>
      <w:pPr>
        <w:spacing w:line="340" w:lineRule="exact"/>
        <w:ind w:firstLine="480" w:firstLineChars="200"/>
        <w:jc w:val="left"/>
        <w:rPr>
          <w:rFonts w:hint="eastAsia" w:ascii="宋体" w:hAnsi="宋体" w:eastAsia="宋体"/>
          <w:sz w:val="24"/>
        </w:rPr>
      </w:pPr>
      <w:r>
        <w:rPr>
          <w:rFonts w:hint="eastAsia" w:ascii="宋体" w:hAnsi="宋体" w:eastAsia="宋体"/>
          <w:sz w:val="24"/>
        </w:rPr>
        <w:t>消耗的能源资源为水、电、天然气及热力。按照《公共机构能源审计技术导则》、《合同能源管理技术通则》、《安徽省非工业能源审计报告内容和深度要求》及相关标准要求，审计医院近3年（2022、2023和2024年）的能源消费实物量、折标量和能源费用支出情况，计算能源消费基准；分析能源消耗指标变化及原因，结合能源管理现状和用能特点，提出合理的能源管理措施和节能改造建议。</w:t>
      </w:r>
    </w:p>
    <w:p>
      <w:pPr>
        <w:numPr>
          <w:ilvl w:val="0"/>
          <w:numId w:val="2"/>
        </w:numPr>
        <w:spacing w:line="480" w:lineRule="exact"/>
        <w:jc w:val="center"/>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供应商资质要求</w:t>
      </w:r>
    </w:p>
    <w:p>
      <w:pPr>
        <w:spacing w:line="340" w:lineRule="exact"/>
        <w:ind w:firstLine="480" w:firstLineChars="200"/>
        <w:jc w:val="left"/>
        <w:rPr>
          <w:rFonts w:hint="eastAsia" w:ascii="宋体" w:hAnsi="宋体" w:eastAsia="宋体"/>
          <w:sz w:val="24"/>
          <w:highlight w:val="yellow"/>
        </w:rPr>
      </w:pPr>
      <w:r>
        <w:rPr>
          <w:rFonts w:hint="eastAsia" w:ascii="宋体" w:hAnsi="宋体" w:eastAsia="宋体"/>
          <w:sz w:val="24"/>
          <w:highlight w:val="yellow"/>
        </w:rPr>
        <w:t>1.投标人必须在中国境内注册合法有效的营业执照；</w:t>
      </w:r>
    </w:p>
    <w:p>
      <w:pPr>
        <w:spacing w:line="340" w:lineRule="exact"/>
        <w:ind w:firstLine="480" w:firstLineChars="200"/>
        <w:jc w:val="left"/>
        <w:rPr>
          <w:rFonts w:hint="eastAsia" w:ascii="宋体" w:hAnsi="宋体" w:eastAsia="宋体"/>
          <w:sz w:val="24"/>
          <w:highlight w:val="yellow"/>
        </w:rPr>
      </w:pPr>
      <w:r>
        <w:rPr>
          <w:rFonts w:hint="eastAsia" w:ascii="宋体" w:hAnsi="宋体" w:eastAsia="宋体"/>
          <w:sz w:val="24"/>
          <w:highlight w:val="yellow"/>
        </w:rPr>
        <w:t>2.投标人为安徽省发展改革委关于发布节能减煤降碳诊断服务机构名单内企业。</w:t>
      </w:r>
    </w:p>
    <w:p>
      <w:pPr>
        <w:spacing w:line="340" w:lineRule="exact"/>
        <w:ind w:firstLine="480" w:firstLineChars="200"/>
        <w:jc w:val="left"/>
        <w:rPr>
          <w:rFonts w:hint="eastAsia" w:ascii="宋体" w:hAnsi="宋体" w:eastAsia="宋体"/>
          <w:sz w:val="24"/>
        </w:rPr>
      </w:pPr>
      <w:r>
        <w:rPr>
          <w:rFonts w:hint="eastAsia" w:ascii="宋体" w:hAnsi="宋体" w:eastAsia="宋体"/>
          <w:sz w:val="24"/>
        </w:rPr>
        <w:t>3.投标人无行业内不良记录；</w:t>
      </w:r>
    </w:p>
    <w:p>
      <w:pPr>
        <w:numPr>
          <w:ilvl w:val="0"/>
          <w:numId w:val="2"/>
        </w:numPr>
        <w:spacing w:line="480" w:lineRule="exact"/>
        <w:jc w:val="center"/>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供应商服务要求：</w:t>
      </w:r>
    </w:p>
    <w:p>
      <w:pPr>
        <w:spacing w:line="340" w:lineRule="exact"/>
        <w:ind w:firstLine="480" w:firstLineChars="200"/>
        <w:jc w:val="left"/>
        <w:rPr>
          <w:rFonts w:hint="eastAsia" w:ascii="宋体" w:hAnsi="宋体" w:eastAsia="宋体"/>
          <w:sz w:val="24"/>
        </w:rPr>
      </w:pPr>
      <w:r>
        <w:rPr>
          <w:rFonts w:hint="eastAsia" w:ascii="宋体" w:hAnsi="宋体" w:eastAsia="宋体"/>
          <w:sz w:val="24"/>
        </w:rPr>
        <w:t>1.供应商须对拟投入人员进行岗位测评和严格选拔，形成责任心强、经验丰富的服务团队。</w:t>
      </w:r>
    </w:p>
    <w:p>
      <w:pPr>
        <w:spacing w:line="340" w:lineRule="exact"/>
        <w:ind w:firstLine="480" w:firstLineChars="200"/>
        <w:jc w:val="left"/>
        <w:rPr>
          <w:rFonts w:hint="eastAsia" w:ascii="宋体" w:hAnsi="宋体" w:eastAsia="宋体"/>
          <w:sz w:val="24"/>
        </w:rPr>
      </w:pPr>
      <w:r>
        <w:rPr>
          <w:rFonts w:hint="eastAsia" w:ascii="宋体" w:hAnsi="宋体" w:eastAsia="宋体"/>
          <w:sz w:val="24"/>
        </w:rPr>
        <w:t>2.供应商须提供健全的服务方案，按需设岗，建立健全岗前安全培训、岗位技能培训，制定人员考核制度。</w:t>
      </w:r>
    </w:p>
    <w:p>
      <w:pPr>
        <w:spacing w:line="340" w:lineRule="exact"/>
        <w:ind w:firstLine="480" w:firstLineChars="200"/>
        <w:jc w:val="left"/>
        <w:rPr>
          <w:rFonts w:hint="eastAsia" w:ascii="宋体" w:hAnsi="宋体" w:eastAsia="宋体"/>
          <w:sz w:val="24"/>
        </w:rPr>
      </w:pPr>
      <w:r>
        <w:rPr>
          <w:rFonts w:hint="eastAsia" w:ascii="宋体" w:hAnsi="宋体" w:eastAsia="宋体"/>
          <w:sz w:val="24"/>
        </w:rPr>
        <w:t>3.供应商须自行配备在能耗统计及能源审计过程中所需设施设备。</w:t>
      </w:r>
    </w:p>
    <w:p>
      <w:pPr>
        <w:spacing w:line="340" w:lineRule="exact"/>
        <w:ind w:firstLine="480" w:firstLineChars="200"/>
        <w:jc w:val="left"/>
        <w:rPr>
          <w:rFonts w:hint="eastAsia" w:ascii="宋体" w:hAnsi="宋体" w:eastAsia="宋体"/>
          <w:sz w:val="24"/>
        </w:rPr>
      </w:pPr>
      <w:r>
        <w:rPr>
          <w:rFonts w:hint="eastAsia" w:ascii="宋体" w:hAnsi="宋体" w:eastAsia="宋体"/>
          <w:sz w:val="24"/>
        </w:rPr>
        <w:t>4.成交供应商在执行本项目过程中产生的一切安全事故均由成交供应商自行承担。</w:t>
      </w:r>
    </w:p>
    <w:p>
      <w:pPr>
        <w:spacing w:line="340" w:lineRule="exact"/>
        <w:ind w:firstLine="480" w:firstLineChars="200"/>
        <w:jc w:val="left"/>
        <w:rPr>
          <w:rFonts w:hint="eastAsia" w:ascii="宋体" w:hAnsi="宋体" w:eastAsia="宋体"/>
          <w:sz w:val="24"/>
        </w:rPr>
      </w:pPr>
      <w:r>
        <w:rPr>
          <w:rFonts w:hint="eastAsia" w:ascii="宋体" w:hAnsi="宋体" w:eastAsia="宋体"/>
          <w:sz w:val="24"/>
        </w:rPr>
        <w:t>5.成交供应商不得将业务转包或分包给其他人，一经发现，采购人将终止合同。</w:t>
      </w:r>
    </w:p>
    <w:p>
      <w:pPr>
        <w:spacing w:line="340" w:lineRule="exact"/>
        <w:ind w:firstLine="480" w:firstLineChars="200"/>
        <w:jc w:val="left"/>
        <w:rPr>
          <w:rFonts w:hint="eastAsia" w:ascii="宋体" w:hAnsi="宋体" w:eastAsia="宋体"/>
          <w:sz w:val="24"/>
        </w:rPr>
      </w:pPr>
      <w:r>
        <w:rPr>
          <w:rFonts w:hint="eastAsia" w:ascii="宋体" w:hAnsi="宋体" w:eastAsia="宋体"/>
          <w:sz w:val="24"/>
        </w:rPr>
        <w:t>6.供应商拟投入本项目项目经理及主要人员在合同履行期间不得随意更换。</w:t>
      </w:r>
    </w:p>
    <w:p>
      <w:pPr>
        <w:spacing w:line="340" w:lineRule="exact"/>
        <w:ind w:firstLine="480" w:firstLineChars="200"/>
        <w:jc w:val="left"/>
        <w:rPr>
          <w:rFonts w:hint="eastAsia" w:ascii="宋体" w:hAnsi="宋体" w:eastAsia="宋体"/>
          <w:sz w:val="24"/>
        </w:rPr>
      </w:pPr>
      <w:r>
        <w:rPr>
          <w:rFonts w:hint="eastAsia" w:ascii="宋体" w:hAnsi="宋体" w:eastAsia="宋体"/>
          <w:sz w:val="24"/>
        </w:rPr>
        <w:t>7.供应商针对本次采购项目特点提出的工作方案的科学性、合理性、实用性、针对性等环节，包括投标单位团队能力、工作经验以及在节能方面拥有的专有技术、节能检测设备能力等方面。</w:t>
      </w:r>
    </w:p>
    <w:p>
      <w:pPr>
        <w:spacing w:line="340" w:lineRule="exact"/>
        <w:ind w:firstLine="480" w:firstLineChars="200"/>
        <w:jc w:val="left"/>
        <w:rPr>
          <w:rFonts w:hint="eastAsia" w:ascii="宋体" w:hAnsi="宋体" w:eastAsia="宋体"/>
          <w:sz w:val="24"/>
        </w:rPr>
      </w:pPr>
      <w:r>
        <w:rPr>
          <w:rFonts w:hint="eastAsia" w:ascii="宋体" w:hAnsi="宋体" w:eastAsia="宋体"/>
          <w:sz w:val="24"/>
        </w:rPr>
        <w:t>8.提供医院委托的能源审计业绩。</w:t>
      </w:r>
    </w:p>
    <w:p>
      <w:pPr>
        <w:spacing w:line="340" w:lineRule="exact"/>
        <w:ind w:firstLine="480" w:firstLineChars="200"/>
        <w:jc w:val="left"/>
        <w:rPr>
          <w:rFonts w:hint="eastAsia"/>
          <w:lang w:val="en-US" w:eastAsia="zh-CN"/>
        </w:rPr>
      </w:pPr>
      <w:r>
        <w:rPr>
          <w:rFonts w:hint="eastAsia" w:ascii="宋体" w:hAnsi="宋体" w:eastAsia="宋体"/>
          <w:sz w:val="24"/>
        </w:rPr>
        <w:t>9.提供项目拟配人员及资质，项目负责人具备节能、环保、能源等领域高级职称。</w:t>
      </w:r>
    </w:p>
    <w:p>
      <w:pPr>
        <w:numPr>
          <w:ilvl w:val="0"/>
          <w:numId w:val="1"/>
        </w:numPr>
        <w:tabs>
          <w:tab w:val="left" w:pos="1050"/>
        </w:tabs>
        <w:spacing w:line="460" w:lineRule="exact"/>
        <w:jc w:val="center"/>
        <w:outlineLvl w:val="2"/>
        <w:rPr>
          <w:rFonts w:hint="eastAsia" w:eastAsia="宋体"/>
          <w:b/>
          <w:sz w:val="28"/>
          <w:szCs w:val="28"/>
          <w:lang w:val="en-US" w:eastAsia="zh-CN"/>
        </w:rPr>
      </w:pPr>
      <w:r>
        <w:rPr>
          <w:rFonts w:hint="eastAsia" w:eastAsia="宋体"/>
          <w:b/>
          <w:sz w:val="28"/>
          <w:szCs w:val="28"/>
          <w:lang w:val="en-US" w:eastAsia="zh-CN"/>
        </w:rPr>
        <w:t>商务要求</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1、质保及售后服务：</w:t>
      </w:r>
    </w:p>
    <w:p>
      <w:pPr>
        <w:spacing w:line="520" w:lineRule="exact"/>
        <w:ind w:firstLine="480" w:firstLineChars="200"/>
        <w:outlineLvl w:val="0"/>
        <w:rPr>
          <w:rFonts w:hint="eastAsia" w:ascii="宋体" w:hAnsi="宋体"/>
          <w:sz w:val="24"/>
          <w:highlight w:val="yellow"/>
          <w:lang w:val="en-US" w:eastAsia="zh-CN"/>
        </w:rPr>
      </w:pPr>
      <w:r>
        <w:rPr>
          <w:rFonts w:hint="eastAsia" w:ascii="宋体" w:hAnsi="宋体"/>
          <w:sz w:val="24"/>
          <w:lang w:val="en-US" w:eastAsia="zh-CN"/>
        </w:rPr>
        <w:t>1.1</w:t>
      </w:r>
      <w:r>
        <w:rPr>
          <w:rFonts w:hint="eastAsia" w:ascii="宋体" w:hAnsi="宋体"/>
          <w:sz w:val="24"/>
          <w:highlight w:val="yellow"/>
          <w:lang w:val="en-US" w:eastAsia="zh-CN"/>
        </w:rPr>
        <w:t>中标人需提供至少1年的服务跟踪期，自验收合格之日起计算。所有质保费用均已包含在总报价中。</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1.2售后服务响应时间：中标人需设有专门的售后服务队伍，建立完备的故障响应机制。如出现服务问题，电话响应无法解决，中标人必须在接到电话3小时内到达现场并解决问题。</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1.3服务期内由招标人对其服务质量进行考核,不合格可由招标人解除合同重新招标。</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1.4</w:t>
      </w:r>
      <w:r>
        <w:rPr>
          <w:rFonts w:hint="eastAsia" w:ascii="宋体" w:hAnsi="宋体"/>
          <w:sz w:val="24"/>
          <w:highlight w:val="yellow"/>
          <w:lang w:val="en-US" w:eastAsia="zh-CN"/>
        </w:rPr>
        <w:t>交货期：自合同签订之日起1个月内完成报告。</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2、</w:t>
      </w:r>
      <w:r>
        <w:rPr>
          <w:rFonts w:hint="eastAsia" w:ascii="宋体" w:hAnsi="宋体"/>
          <w:sz w:val="24"/>
          <w:highlight w:val="yellow"/>
          <w:lang w:val="en-US" w:eastAsia="zh-CN"/>
        </w:rPr>
        <w:t>付款方式：递交正式评估报告后1个月内支付90%，1年后支付10%</w:t>
      </w:r>
    </w:p>
    <w:p>
      <w:pPr>
        <w:spacing w:line="520" w:lineRule="exact"/>
        <w:ind w:firstLine="480" w:firstLineChars="200"/>
        <w:outlineLvl w:val="0"/>
        <w:rPr>
          <w:rFonts w:hint="eastAsia" w:ascii="宋体" w:hAnsi="宋体"/>
          <w:sz w:val="24"/>
          <w:highlight w:val="none"/>
          <w:lang w:val="en-US" w:eastAsia="zh-CN"/>
        </w:rPr>
      </w:pPr>
      <w:r>
        <w:rPr>
          <w:rFonts w:hint="eastAsia" w:ascii="宋体" w:hAnsi="宋体"/>
          <w:sz w:val="24"/>
          <w:highlight w:val="none"/>
          <w:lang w:val="en-US" w:eastAsia="zh-CN"/>
        </w:rPr>
        <w:t>3、交货和服务地点：马鞍山市中医院。</w:t>
      </w:r>
    </w:p>
    <w:p>
      <w:pPr>
        <w:spacing w:line="520" w:lineRule="exact"/>
        <w:ind w:firstLine="480" w:firstLineChars="200"/>
        <w:outlineLvl w:val="0"/>
        <w:rPr>
          <w:rFonts w:hint="default"/>
          <w:sz w:val="28"/>
          <w:szCs w:val="28"/>
          <w:lang w:val="en-US" w:eastAsia="zh-CN"/>
        </w:rPr>
      </w:pPr>
      <w:r>
        <w:rPr>
          <w:rFonts w:hint="eastAsia" w:ascii="宋体" w:hAnsi="宋体"/>
          <w:sz w:val="24"/>
          <w:lang w:val="en-US" w:eastAsia="zh-CN"/>
        </w:rPr>
        <w:t>4、</w:t>
      </w:r>
      <w:r>
        <w:rPr>
          <w:rFonts w:hint="eastAsia" w:ascii="宋体" w:hAnsi="宋体" w:eastAsia="宋体"/>
          <w:sz w:val="24"/>
          <w:lang w:val="en-US" w:eastAsia="zh-CN"/>
        </w:rPr>
        <w:t>本项目总投标价包含了交付使用前的全部费用，包括货物购置费（所有设备、辅材、零配件、易损件、备品备件及专用工具等）、调试费、人工费、交通费、食宿费、管理费、运输费、保险费、质保期内的维护维修费、培训费、验收费、其他费用（如包装费、仓储费、保管费、资料费以及完成本项目所需要的其他费用）及所有价内价外税金及合理利润等</w:t>
      </w:r>
      <w:r>
        <w:rPr>
          <w:rFonts w:hint="eastAsia" w:ascii="宋体" w:hAnsi="宋体"/>
          <w:sz w:val="24"/>
          <w:lang w:val="en-US" w:eastAsia="zh-CN"/>
        </w:rPr>
        <w:t>。</w:t>
      </w:r>
      <w:bookmarkEnd w:id="0"/>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E46E2"/>
    <w:multiLevelType w:val="singleLevel"/>
    <w:tmpl w:val="294E46E2"/>
    <w:lvl w:ilvl="0" w:tentative="0">
      <w:start w:val="2"/>
      <w:numFmt w:val="chineseCounting"/>
      <w:suff w:val="nothing"/>
      <w:lvlText w:val="（%1）"/>
      <w:lvlJc w:val="left"/>
      <w:rPr>
        <w:rFonts w:hint="eastAsia"/>
      </w:rPr>
    </w:lvl>
  </w:abstractNum>
  <w:abstractNum w:abstractNumId="1">
    <w:nsid w:val="60BBCA32"/>
    <w:multiLevelType w:val="singleLevel"/>
    <w:tmpl w:val="60BBCA3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VjOGUxODk1YzY2NTUxMWVjNzRmZDgxYTIzNjVjOGQifQ=="/>
  </w:docVars>
  <w:rsids>
    <w:rsidRoot w:val="00000000"/>
    <w:rsid w:val="020A3257"/>
    <w:rsid w:val="052A3046"/>
    <w:rsid w:val="062E4AEA"/>
    <w:rsid w:val="06E339B1"/>
    <w:rsid w:val="0A6C6349"/>
    <w:rsid w:val="187263AC"/>
    <w:rsid w:val="1C7F35CF"/>
    <w:rsid w:val="200B3B6B"/>
    <w:rsid w:val="20230655"/>
    <w:rsid w:val="21072CC7"/>
    <w:rsid w:val="2214117B"/>
    <w:rsid w:val="22F722B3"/>
    <w:rsid w:val="28901CFF"/>
    <w:rsid w:val="2F3A581B"/>
    <w:rsid w:val="30C2420B"/>
    <w:rsid w:val="310E58A1"/>
    <w:rsid w:val="322F2D66"/>
    <w:rsid w:val="32354DFC"/>
    <w:rsid w:val="323653FE"/>
    <w:rsid w:val="3B326DB3"/>
    <w:rsid w:val="3C4E2A76"/>
    <w:rsid w:val="3D94095C"/>
    <w:rsid w:val="40147341"/>
    <w:rsid w:val="42917E16"/>
    <w:rsid w:val="4D20467D"/>
    <w:rsid w:val="50146947"/>
    <w:rsid w:val="51F635A0"/>
    <w:rsid w:val="5C013209"/>
    <w:rsid w:val="5C6B760E"/>
    <w:rsid w:val="602D5FC1"/>
    <w:rsid w:val="608A34B1"/>
    <w:rsid w:val="63D95EC9"/>
    <w:rsid w:val="6C6E4B04"/>
    <w:rsid w:val="6D8E7496"/>
    <w:rsid w:val="735C50AE"/>
    <w:rsid w:val="73E8476A"/>
    <w:rsid w:val="73F364FA"/>
    <w:rsid w:val="74EE54C4"/>
    <w:rsid w:val="750730DA"/>
    <w:rsid w:val="77E640D1"/>
    <w:rsid w:val="780B0ECF"/>
    <w:rsid w:val="7A992BBA"/>
    <w:rsid w:val="7B450E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0"/>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2"/>
    <w:basedOn w:val="1"/>
    <w:next w:val="1"/>
    <w:qFormat/>
    <w:uiPriority w:val="0"/>
    <w:pPr>
      <w:spacing w:after="120" w:line="480" w:lineRule="auto"/>
    </w:pPr>
    <w:rPr>
      <w:kern w:val="0"/>
      <w:sz w:val="20"/>
      <w:szCs w:val="24"/>
    </w:rPr>
  </w:style>
  <w:style w:type="paragraph" w:styleId="5">
    <w:name w:val="Body Text"/>
    <w:basedOn w:val="1"/>
    <w:link w:val="24"/>
    <w:qFormat/>
    <w:uiPriority w:val="0"/>
    <w:pPr>
      <w:jc w:val="left"/>
    </w:pPr>
    <w:rPr>
      <w:rFonts w:ascii="Arial" w:hAnsi="Arial" w:eastAsia="黑体"/>
      <w:b/>
      <w:sz w:val="32"/>
    </w:rPr>
  </w:style>
  <w:style w:type="paragraph" w:styleId="6">
    <w:name w:val="Body Text Indent"/>
    <w:basedOn w:val="1"/>
    <w:link w:val="25"/>
    <w:semiHidden/>
    <w:unhideWhenUsed/>
    <w:qFormat/>
    <w:uiPriority w:val="99"/>
    <w:pPr>
      <w:spacing w:after="120"/>
      <w:ind w:left="420" w:leftChars="200"/>
    </w:pPr>
  </w:style>
  <w:style w:type="paragraph" w:styleId="7">
    <w:name w:val="Date"/>
    <w:basedOn w:val="1"/>
    <w:next w:val="1"/>
    <w:link w:val="22"/>
    <w:semiHidden/>
    <w:unhideWhenUsed/>
    <w:qFormat/>
    <w:uiPriority w:val="99"/>
    <w:pPr>
      <w:ind w:left="100" w:leftChars="2500"/>
    </w:pPr>
  </w:style>
  <w:style w:type="paragraph" w:styleId="8">
    <w:name w:val="Body Text Indent 2"/>
    <w:basedOn w:val="1"/>
    <w:qFormat/>
    <w:uiPriority w:val="0"/>
    <w:pPr>
      <w:spacing w:after="120" w:line="480" w:lineRule="auto"/>
      <w:ind w:left="420" w:leftChars="200"/>
    </w:pPr>
    <w:rPr>
      <w:rFonts w:ascii="宋体"/>
      <w:sz w:val="32"/>
      <w:szCs w:val="22"/>
    </w:r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0"/>
    <w:pPr>
      <w:tabs>
        <w:tab w:val="center" w:pos="4153"/>
        <w:tab w:val="right" w:pos="8306"/>
      </w:tabs>
      <w:snapToGrid w:val="0"/>
      <w:jc w:val="left"/>
    </w:pPr>
    <w:rPr>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pPr>
    <w:rPr>
      <w:rFonts w:ascii="Calibri" w:hAnsi="Calibri" w:eastAsia="宋体" w:cs="Times New Roman"/>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6"/>
    <w:link w:val="26"/>
    <w:semiHidden/>
    <w:unhideWhenUsed/>
    <w:qFormat/>
    <w:uiPriority w:val="99"/>
    <w:pPr>
      <w:ind w:firstLine="420" w:firstLineChars="200"/>
    </w:pPr>
  </w:style>
  <w:style w:type="character" w:styleId="17">
    <w:name w:val="page number"/>
    <w:semiHidden/>
    <w:unhideWhenUsed/>
    <w:qFormat/>
    <w:uiPriority w:val="99"/>
    <w:rPr>
      <w:rFonts w:cs="Times New Roman"/>
    </w:rPr>
  </w:style>
  <w:style w:type="character" w:styleId="18">
    <w:name w:val="Hyperlink"/>
    <w:basedOn w:val="16"/>
    <w:unhideWhenUsed/>
    <w:qFormat/>
    <w:uiPriority w:val="99"/>
    <w:rPr>
      <w:color w:val="0000FF"/>
      <w:u w:val="single"/>
    </w:rPr>
  </w:style>
  <w:style w:type="paragraph" w:customStyle="1" w:styleId="19">
    <w:name w:val="List Paragraph"/>
    <w:basedOn w:val="1"/>
    <w:qFormat/>
    <w:uiPriority w:val="34"/>
    <w:pPr>
      <w:ind w:firstLine="420" w:firstLineChars="200"/>
    </w:pPr>
    <w:rPr>
      <w:rFonts w:ascii="Times New Roman" w:hAnsi="Times New Roman" w:eastAsia="宋体" w:cs="Times New Roman"/>
      <w:szCs w:val="24"/>
    </w:rPr>
  </w:style>
  <w:style w:type="character" w:customStyle="1" w:styleId="20">
    <w:name w:val="页眉 Char"/>
    <w:basedOn w:val="16"/>
    <w:link w:val="11"/>
    <w:semiHidden/>
    <w:qFormat/>
    <w:uiPriority w:val="99"/>
    <w:rPr>
      <w:sz w:val="18"/>
      <w:szCs w:val="18"/>
    </w:rPr>
  </w:style>
  <w:style w:type="character" w:customStyle="1" w:styleId="21">
    <w:name w:val="页脚 Char"/>
    <w:basedOn w:val="16"/>
    <w:link w:val="10"/>
    <w:qFormat/>
    <w:uiPriority w:val="0"/>
    <w:rPr>
      <w:sz w:val="18"/>
      <w:szCs w:val="18"/>
    </w:rPr>
  </w:style>
  <w:style w:type="character" w:customStyle="1" w:styleId="22">
    <w:name w:val="日期 Char"/>
    <w:basedOn w:val="16"/>
    <w:link w:val="7"/>
    <w:semiHidden/>
    <w:qFormat/>
    <w:uiPriority w:val="99"/>
  </w:style>
  <w:style w:type="character" w:customStyle="1" w:styleId="23">
    <w:name w:val="正文文本 Char"/>
    <w:link w:val="5"/>
    <w:qFormat/>
    <w:locked/>
    <w:uiPriority w:val="0"/>
    <w:rPr>
      <w:rFonts w:ascii="Arial" w:hAnsi="Arial" w:eastAsia="黑体"/>
      <w:b/>
      <w:sz w:val="32"/>
    </w:rPr>
  </w:style>
  <w:style w:type="character" w:customStyle="1" w:styleId="24">
    <w:name w:val="正文文本 Char1"/>
    <w:basedOn w:val="16"/>
    <w:link w:val="5"/>
    <w:semiHidden/>
    <w:qFormat/>
    <w:uiPriority w:val="99"/>
  </w:style>
  <w:style w:type="character" w:customStyle="1" w:styleId="25">
    <w:name w:val="正文文本缩进 Char"/>
    <w:basedOn w:val="16"/>
    <w:link w:val="6"/>
    <w:semiHidden/>
    <w:qFormat/>
    <w:uiPriority w:val="99"/>
  </w:style>
  <w:style w:type="character" w:customStyle="1" w:styleId="26">
    <w:name w:val="正文首行缩进 2 Char"/>
    <w:basedOn w:val="25"/>
    <w:link w:val="14"/>
    <w:semiHidden/>
    <w:qFormat/>
    <w:uiPriority w:val="99"/>
  </w:style>
  <w:style w:type="character" w:customStyle="1" w:styleId="27">
    <w:name w:val="批注框文本 Char"/>
    <w:basedOn w:val="16"/>
    <w:link w:val="9"/>
    <w:semiHidden/>
    <w:qFormat/>
    <w:uiPriority w:val="99"/>
    <w:rPr>
      <w:sz w:val="18"/>
      <w:szCs w:val="18"/>
    </w:rPr>
  </w:style>
  <w:style w:type="paragraph" w:customStyle="1" w:styleId="28">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9">
    <w:name w:val="目录 21"/>
    <w:basedOn w:val="1"/>
    <w:qFormat/>
    <w:uiPriority w:val="0"/>
    <w:pPr>
      <w:ind w:left="420"/>
    </w:pPr>
    <w:rPr>
      <w:rFonts w:eastAsia="仿宋_GB2312"/>
      <w:b/>
      <w:sz w:val="24"/>
    </w:rPr>
  </w:style>
  <w:style w:type="character" w:customStyle="1" w:styleId="30">
    <w:name w:val="标题 1 Char"/>
    <w:basedOn w:val="16"/>
    <w:link w:val="3"/>
    <w:qFormat/>
    <w:uiPriority w:val="0"/>
    <w:rPr>
      <w:rFonts w:ascii="Times New Roman" w:hAnsi="Times New Roman" w:eastAsia="黑体"/>
      <w:b/>
      <w:bCs/>
      <w:kern w:val="44"/>
      <w:sz w:val="30"/>
      <w:szCs w:val="44"/>
    </w:rPr>
  </w:style>
  <w:style w:type="character" w:customStyle="1" w:styleId="31">
    <w:name w:val="font101"/>
    <w:basedOn w:val="16"/>
    <w:qFormat/>
    <w:uiPriority w:val="0"/>
    <w:rPr>
      <w:rFonts w:hint="eastAsia" w:ascii="宋体" w:hAnsi="宋体" w:eastAsia="宋体" w:cs="宋体"/>
      <w:color w:val="FF0000"/>
      <w:sz w:val="20"/>
      <w:szCs w:val="20"/>
      <w:u w:val="none"/>
    </w:rPr>
  </w:style>
  <w:style w:type="paragraph" w:customStyle="1" w:styleId="32">
    <w:name w:val="节标题"/>
    <w:basedOn w:val="1"/>
    <w:next w:val="1"/>
    <w:qFormat/>
    <w:uiPriority w:val="0"/>
    <w:pPr>
      <w:widowControl/>
      <w:spacing w:line="289" w:lineRule="atLeast"/>
      <w:jc w:val="center"/>
      <w:textAlignment w:val="baseline"/>
    </w:pPr>
    <w:rPr>
      <w:color w:val="000000"/>
      <w:kern w:val="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3211</Words>
  <Characters>3781</Characters>
  <Lines>6</Lines>
  <Paragraphs>1</Paragraphs>
  <TotalTime>9</TotalTime>
  <ScaleCrop>false</ScaleCrop>
  <LinksUpToDate>false</LinksUpToDate>
  <CharactersWithSpaces>4008</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能能</cp:lastModifiedBy>
  <cp:lastPrinted>2024-08-02T08:38:00Z</cp:lastPrinted>
  <dcterms:modified xsi:type="dcterms:W3CDTF">2025-04-16T01:36:01Z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5454054EEDDD420495B91241D8CDEB4A</vt:lpwstr>
  </property>
  <property fmtid="{D5CDD505-2E9C-101B-9397-08002B2CF9AE}" pid="4" name="KSOTemplateDocerSaveRecord">
    <vt:lpwstr>eyJoZGlkIjoiNDM3MTYzMDhhOTc5YTExMzg1YTM0MTdhNjM0ZDllMjgiLCJ1c2VySWQiOiI0MzkxNjI2NzYifQ==</vt:lpwstr>
  </property>
</Properties>
</file>