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32"/>
          <w:szCs w:val="32"/>
        </w:rPr>
      </w:pPr>
      <w:bookmarkStart w:id="1" w:name="_GoBack"/>
      <w:bookmarkEnd w:id="1"/>
      <w:r>
        <w:rPr>
          <w:rFonts w:hint="eastAsia" w:ascii="宋体" w:hAnsi="宋体"/>
          <w:b/>
          <w:sz w:val="32"/>
          <w:szCs w:val="32"/>
        </w:rPr>
        <w:t>持续葡萄糖监测系统采购内容及相关要求</w:t>
      </w:r>
    </w:p>
    <w:p>
      <w:pPr>
        <w:pStyle w:val="8"/>
        <w:keepNext w:val="0"/>
        <w:keepLines w:val="0"/>
        <w:pageBreakBefore w:val="0"/>
        <w:numPr>
          <w:ilvl w:val="0"/>
          <w:numId w:val="0"/>
        </w:numPr>
        <w:kinsoku/>
        <w:wordWrap/>
        <w:overflowPunct/>
        <w:topLinePunct w:val="0"/>
        <w:autoSpaceDE/>
        <w:autoSpaceDN/>
        <w:bidi w:val="0"/>
        <w:spacing w:line="440" w:lineRule="exact"/>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lang w:val="en-US" w:eastAsia="zh-CN"/>
        </w:rPr>
        <w:t>一、</w:t>
      </w:r>
      <w:r>
        <w:rPr>
          <w:rFonts w:hint="eastAsia" w:ascii="宋体" w:hAnsi="宋体" w:eastAsia="宋体" w:cs="宋体"/>
          <w:b/>
          <w:bCs/>
          <w:color w:val="000000"/>
          <w:sz w:val="24"/>
          <w:szCs w:val="24"/>
          <w:highlight w:val="none"/>
        </w:rPr>
        <w:t>采购预算：</w:t>
      </w:r>
    </w:p>
    <w:p>
      <w:pPr>
        <w:pStyle w:val="8"/>
        <w:keepNext w:val="0"/>
        <w:keepLines w:val="0"/>
        <w:pageBreakBefore w:val="0"/>
        <w:numPr>
          <w:ilvl w:val="0"/>
          <w:numId w:val="0"/>
        </w:numPr>
        <w:kinsoku/>
        <w:wordWrap/>
        <w:overflowPunct/>
        <w:topLinePunct w:val="0"/>
        <w:autoSpaceDE/>
        <w:autoSpaceDN/>
        <w:bidi w:val="0"/>
        <w:spacing w:line="440" w:lineRule="exact"/>
        <w:textAlignment w:val="auto"/>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采购预算（人民币）：</w:t>
      </w:r>
      <w:r>
        <w:rPr>
          <w:rFonts w:hint="eastAsia" w:ascii="宋体" w:hAnsi="宋体" w:eastAsia="宋体" w:cs="宋体"/>
          <w:b w:val="0"/>
          <w:bCs w:val="0"/>
          <w:color w:val="000000"/>
          <w:sz w:val="24"/>
          <w:szCs w:val="24"/>
          <w:highlight w:val="none"/>
          <w:lang w:val="en-US" w:eastAsia="zh-CN"/>
        </w:rPr>
        <w:t>18</w:t>
      </w:r>
      <w:r>
        <w:rPr>
          <w:rFonts w:hint="eastAsia" w:ascii="宋体" w:hAnsi="宋体" w:eastAsia="宋体" w:cs="宋体"/>
          <w:b w:val="0"/>
          <w:bCs w:val="0"/>
          <w:color w:val="000000"/>
          <w:sz w:val="24"/>
          <w:szCs w:val="24"/>
          <w:highlight w:val="none"/>
        </w:rPr>
        <w:t>万元</w:t>
      </w:r>
      <w:r>
        <w:rPr>
          <w:rFonts w:hint="eastAsia" w:ascii="宋体" w:hAnsi="宋体" w:cs="宋体"/>
          <w:b w:val="0"/>
          <w:bCs w:val="0"/>
          <w:color w:val="000000"/>
          <w:sz w:val="24"/>
          <w:szCs w:val="24"/>
          <w:highlight w:val="none"/>
          <w:lang w:val="en-US" w:eastAsia="zh-CN"/>
        </w:rPr>
        <w:t>/年</w:t>
      </w:r>
      <w:r>
        <w:rPr>
          <w:rFonts w:hint="eastAsia" w:ascii="宋体" w:hAnsi="宋体" w:eastAsia="宋体" w:cs="宋体"/>
          <w:b w:val="0"/>
          <w:bCs w:val="0"/>
          <w:color w:val="000000"/>
          <w:sz w:val="24"/>
          <w:szCs w:val="24"/>
          <w:highlight w:val="none"/>
        </w:rPr>
        <w:t>；最高限价（人民币）：</w:t>
      </w:r>
      <w:r>
        <w:rPr>
          <w:rFonts w:hint="eastAsia" w:ascii="宋体" w:hAnsi="宋体" w:eastAsia="宋体" w:cs="宋体"/>
          <w:b w:val="0"/>
          <w:bCs w:val="0"/>
          <w:color w:val="000000"/>
          <w:sz w:val="24"/>
          <w:szCs w:val="24"/>
          <w:highlight w:val="none"/>
          <w:lang w:val="en-US" w:eastAsia="zh-CN"/>
        </w:rPr>
        <w:t>18</w:t>
      </w:r>
      <w:r>
        <w:rPr>
          <w:rFonts w:hint="eastAsia" w:ascii="宋体" w:hAnsi="宋体" w:eastAsia="宋体" w:cs="宋体"/>
          <w:b w:val="0"/>
          <w:bCs w:val="0"/>
          <w:color w:val="000000"/>
          <w:sz w:val="24"/>
          <w:szCs w:val="24"/>
          <w:highlight w:val="none"/>
        </w:rPr>
        <w:t>万元</w:t>
      </w:r>
      <w:r>
        <w:rPr>
          <w:rFonts w:hint="eastAsia" w:ascii="宋体" w:hAnsi="宋体" w:cs="宋体"/>
          <w:b w:val="0"/>
          <w:bCs w:val="0"/>
          <w:color w:val="000000"/>
          <w:sz w:val="24"/>
          <w:szCs w:val="24"/>
          <w:highlight w:val="none"/>
          <w:lang w:val="en-US" w:eastAsia="zh-CN"/>
        </w:rPr>
        <w:t>/年</w:t>
      </w:r>
      <w:r>
        <w:rPr>
          <w:rFonts w:hint="eastAsia" w:ascii="宋体" w:hAnsi="宋体" w:eastAsia="宋体" w:cs="宋体"/>
          <w:b w:val="0"/>
          <w:bCs w:val="0"/>
          <w:color w:val="000000"/>
          <w:sz w:val="24"/>
          <w:szCs w:val="24"/>
          <w:highlight w:val="none"/>
        </w:rPr>
        <w:t>。</w:t>
      </w:r>
    </w:p>
    <w:p>
      <w:pPr>
        <w:pStyle w:val="8"/>
        <w:keepNext w:val="0"/>
        <w:keepLines w:val="0"/>
        <w:pageBreakBefore w:val="0"/>
        <w:numPr>
          <w:ilvl w:val="0"/>
          <w:numId w:val="0"/>
        </w:numPr>
        <w:kinsoku/>
        <w:wordWrap/>
        <w:overflowPunct/>
        <w:topLinePunct w:val="0"/>
        <w:autoSpaceDE/>
        <w:autoSpaceDN/>
        <w:bidi w:val="0"/>
        <w:spacing w:line="440" w:lineRule="exact"/>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lang w:val="en-US" w:eastAsia="zh-CN"/>
        </w:rPr>
        <w:t>二、</w:t>
      </w:r>
      <w:r>
        <w:rPr>
          <w:rFonts w:hint="eastAsia" w:ascii="宋体" w:hAnsi="宋体" w:eastAsia="宋体" w:cs="宋体"/>
          <w:b/>
          <w:bCs/>
          <w:color w:val="000000"/>
          <w:sz w:val="24"/>
          <w:szCs w:val="24"/>
          <w:highlight w:val="none"/>
        </w:rPr>
        <w:t>采购清单及相关要求</w:t>
      </w:r>
    </w:p>
    <w:p>
      <w:pPr>
        <w:keepNext w:val="0"/>
        <w:keepLines w:val="0"/>
        <w:pageBreakBefore w:val="0"/>
        <w:tabs>
          <w:tab w:val="left" w:pos="7020"/>
        </w:tabs>
        <w:kinsoku/>
        <w:wordWrap/>
        <w:overflowPunct/>
        <w:topLinePunct w:val="0"/>
        <w:autoSpaceDE/>
        <w:autoSpaceDN/>
        <w:bidi w:val="0"/>
        <w:spacing w:line="440" w:lineRule="exact"/>
        <w:ind w:left="0"/>
        <w:jc w:val="both"/>
        <w:textAlignment w:val="auto"/>
        <w:rPr>
          <w:rFonts w:hint="eastAsia" w:ascii="宋体" w:hAnsi="宋体" w:eastAsia="宋体" w:cs="宋体"/>
          <w:b/>
          <w:sz w:val="24"/>
          <w:szCs w:val="24"/>
        </w:rPr>
      </w:pPr>
      <w:r>
        <w:rPr>
          <w:rFonts w:hint="eastAsia" w:ascii="宋体" w:hAnsi="宋体" w:eastAsia="宋体" w:cs="宋体"/>
          <w:b/>
          <w:sz w:val="24"/>
          <w:szCs w:val="24"/>
        </w:rPr>
        <w:t>（一）采购清单</w:t>
      </w:r>
    </w:p>
    <w:tbl>
      <w:tblPr>
        <w:tblStyle w:val="5"/>
        <w:tblW w:w="8498" w:type="dxa"/>
        <w:tblInd w:w="2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1913"/>
        <w:gridCol w:w="1348"/>
        <w:gridCol w:w="708"/>
        <w:gridCol w:w="709"/>
        <w:gridCol w:w="1418"/>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85" w:type="dxa"/>
            <w:vAlign w:val="top"/>
          </w:tcPr>
          <w:p>
            <w:pPr>
              <w:keepNext w:val="0"/>
              <w:keepLines w:val="0"/>
              <w:pageBreakBefore w:val="0"/>
              <w:kinsoku/>
              <w:wordWrap/>
              <w:overflowPunct/>
              <w:topLinePunct w:val="0"/>
              <w:autoSpaceDE/>
              <w:autoSpaceDN/>
              <w:bidi w:val="0"/>
              <w:spacing w:line="440" w:lineRule="exact"/>
              <w:ind w:left="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913" w:type="dxa"/>
            <w:vAlign w:val="top"/>
          </w:tcPr>
          <w:p>
            <w:pPr>
              <w:keepNext w:val="0"/>
              <w:keepLines w:val="0"/>
              <w:pageBreakBefore w:val="0"/>
              <w:kinsoku/>
              <w:wordWrap/>
              <w:overflowPunct/>
              <w:topLinePunct w:val="0"/>
              <w:autoSpaceDE/>
              <w:autoSpaceDN/>
              <w:bidi w:val="0"/>
              <w:spacing w:line="440" w:lineRule="exact"/>
              <w:ind w:left="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货物名称</w:t>
            </w:r>
          </w:p>
        </w:tc>
        <w:tc>
          <w:tcPr>
            <w:tcW w:w="1348" w:type="dxa"/>
            <w:vAlign w:val="top"/>
          </w:tcPr>
          <w:p>
            <w:pPr>
              <w:keepNext w:val="0"/>
              <w:keepLines w:val="0"/>
              <w:pageBreakBefore w:val="0"/>
              <w:kinsoku/>
              <w:wordWrap/>
              <w:overflowPunct/>
              <w:topLinePunct w:val="0"/>
              <w:autoSpaceDE/>
              <w:autoSpaceDN/>
              <w:bidi w:val="0"/>
              <w:spacing w:line="440" w:lineRule="exact"/>
              <w:ind w:left="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规格</w:t>
            </w:r>
          </w:p>
        </w:tc>
        <w:tc>
          <w:tcPr>
            <w:tcW w:w="708" w:type="dxa"/>
            <w:vAlign w:val="top"/>
          </w:tcPr>
          <w:p>
            <w:pPr>
              <w:keepNext w:val="0"/>
              <w:keepLines w:val="0"/>
              <w:pageBreakBefore w:val="0"/>
              <w:kinsoku/>
              <w:wordWrap/>
              <w:overflowPunct/>
              <w:topLinePunct w:val="0"/>
              <w:autoSpaceDE/>
              <w:autoSpaceDN/>
              <w:bidi w:val="0"/>
              <w:spacing w:line="440" w:lineRule="exact"/>
              <w:ind w:left="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数量</w:t>
            </w:r>
          </w:p>
        </w:tc>
        <w:tc>
          <w:tcPr>
            <w:tcW w:w="709" w:type="dxa"/>
            <w:vAlign w:val="top"/>
          </w:tcPr>
          <w:p>
            <w:pPr>
              <w:keepNext w:val="0"/>
              <w:keepLines w:val="0"/>
              <w:pageBreakBefore w:val="0"/>
              <w:kinsoku/>
              <w:wordWrap/>
              <w:overflowPunct/>
              <w:topLinePunct w:val="0"/>
              <w:autoSpaceDE/>
              <w:autoSpaceDN/>
              <w:bidi w:val="0"/>
              <w:spacing w:line="440" w:lineRule="exact"/>
              <w:ind w:left="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单位</w:t>
            </w:r>
          </w:p>
        </w:tc>
        <w:tc>
          <w:tcPr>
            <w:tcW w:w="1418" w:type="dxa"/>
            <w:vAlign w:val="top"/>
          </w:tcPr>
          <w:p>
            <w:pPr>
              <w:keepNext w:val="0"/>
              <w:keepLines w:val="0"/>
              <w:pageBreakBefore w:val="0"/>
              <w:kinsoku/>
              <w:wordWrap/>
              <w:overflowPunct/>
              <w:topLinePunct w:val="0"/>
              <w:autoSpaceDE/>
              <w:autoSpaceDN/>
              <w:bidi w:val="0"/>
              <w:spacing w:line="440" w:lineRule="exact"/>
              <w:ind w:left="0"/>
              <w:jc w:val="center"/>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最高限制单价（元）</w:t>
            </w:r>
          </w:p>
        </w:tc>
        <w:tc>
          <w:tcPr>
            <w:tcW w:w="1417" w:type="dxa"/>
            <w:vAlign w:val="top"/>
          </w:tcPr>
          <w:p>
            <w:pPr>
              <w:keepNext w:val="0"/>
              <w:keepLines w:val="0"/>
              <w:pageBreakBefore w:val="0"/>
              <w:kinsoku/>
              <w:wordWrap/>
              <w:overflowPunct/>
              <w:topLinePunct w:val="0"/>
              <w:autoSpaceDE/>
              <w:autoSpaceDN/>
              <w:bidi w:val="0"/>
              <w:spacing w:line="440" w:lineRule="exact"/>
              <w:ind w:left="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预算（万元</w:t>
            </w:r>
            <w:r>
              <w:rPr>
                <w:rFonts w:hint="eastAsia" w:ascii="宋体" w:hAnsi="宋体" w:cs="宋体"/>
                <w:b/>
                <w:bCs/>
                <w:sz w:val="24"/>
                <w:szCs w:val="24"/>
                <w:lang w:val="en-US" w:eastAsia="zh-CN"/>
              </w:rPr>
              <w:t>/年</w:t>
            </w:r>
            <w:r>
              <w:rPr>
                <w:rFonts w:hint="eastAsia" w:ascii="宋体" w:hAnsi="宋体" w:eastAsia="宋体" w:cs="宋体"/>
                <w:b/>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985" w:type="dxa"/>
            <w:vAlign w:val="top"/>
          </w:tcPr>
          <w:p>
            <w:pPr>
              <w:keepNext w:val="0"/>
              <w:keepLines w:val="0"/>
              <w:pageBreakBefore w:val="0"/>
              <w:kinsoku/>
              <w:wordWrap/>
              <w:overflowPunct/>
              <w:topLinePunct w:val="0"/>
              <w:autoSpaceDE/>
              <w:autoSpaceDN/>
              <w:bidi w:val="0"/>
              <w:spacing w:line="440" w:lineRule="exact"/>
              <w:ind w:left="0"/>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1913" w:type="dxa"/>
            <w:vAlign w:val="top"/>
          </w:tcPr>
          <w:p>
            <w:pPr>
              <w:keepNext w:val="0"/>
              <w:keepLines w:val="0"/>
              <w:pageBreakBefore w:val="0"/>
              <w:kinsoku/>
              <w:wordWrap/>
              <w:overflowPunct/>
              <w:topLinePunct w:val="0"/>
              <w:autoSpaceDE/>
              <w:autoSpaceDN/>
              <w:bidi w:val="0"/>
              <w:spacing w:line="440" w:lineRule="exact"/>
              <w:ind w:left="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持续葡萄糖监测系统</w:t>
            </w:r>
          </w:p>
        </w:tc>
        <w:tc>
          <w:tcPr>
            <w:tcW w:w="1348" w:type="dxa"/>
            <w:vAlign w:val="top"/>
          </w:tcPr>
          <w:p>
            <w:pPr>
              <w:keepNext w:val="0"/>
              <w:keepLines w:val="0"/>
              <w:pageBreakBefore w:val="0"/>
              <w:kinsoku/>
              <w:wordWrap/>
              <w:overflowPunct/>
              <w:topLinePunct w:val="0"/>
              <w:autoSpaceDE/>
              <w:autoSpaceDN/>
              <w:bidi w:val="0"/>
              <w:spacing w:line="440" w:lineRule="exact"/>
              <w:ind w:left="0"/>
              <w:textAlignment w:val="auto"/>
              <w:rPr>
                <w:rFonts w:hint="eastAsia" w:ascii="宋体" w:hAnsi="宋体" w:eastAsia="宋体" w:cs="宋体"/>
                <w:sz w:val="24"/>
                <w:szCs w:val="24"/>
              </w:rPr>
            </w:pPr>
          </w:p>
        </w:tc>
        <w:tc>
          <w:tcPr>
            <w:tcW w:w="708" w:type="dxa"/>
            <w:vAlign w:val="top"/>
          </w:tcPr>
          <w:p>
            <w:pPr>
              <w:keepNext w:val="0"/>
              <w:keepLines w:val="0"/>
              <w:pageBreakBefore w:val="0"/>
              <w:kinsoku/>
              <w:wordWrap/>
              <w:overflowPunct/>
              <w:topLinePunct w:val="0"/>
              <w:autoSpaceDE/>
              <w:autoSpaceDN/>
              <w:bidi w:val="0"/>
              <w:spacing w:line="440" w:lineRule="exact"/>
              <w:ind w:left="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300</w:t>
            </w:r>
          </w:p>
        </w:tc>
        <w:tc>
          <w:tcPr>
            <w:tcW w:w="709" w:type="dxa"/>
            <w:vAlign w:val="top"/>
          </w:tcPr>
          <w:p>
            <w:pPr>
              <w:keepNext w:val="0"/>
              <w:keepLines w:val="0"/>
              <w:pageBreakBefore w:val="0"/>
              <w:kinsoku/>
              <w:wordWrap/>
              <w:overflowPunct/>
              <w:topLinePunct w:val="0"/>
              <w:autoSpaceDE/>
              <w:autoSpaceDN/>
              <w:bidi w:val="0"/>
              <w:spacing w:line="440" w:lineRule="exact"/>
              <w:ind w:left="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个</w:t>
            </w:r>
          </w:p>
        </w:tc>
        <w:tc>
          <w:tcPr>
            <w:tcW w:w="1418" w:type="dxa"/>
            <w:vAlign w:val="top"/>
          </w:tcPr>
          <w:p>
            <w:pPr>
              <w:keepNext w:val="0"/>
              <w:keepLines w:val="0"/>
              <w:pageBreakBefore w:val="0"/>
              <w:kinsoku/>
              <w:wordWrap/>
              <w:overflowPunct/>
              <w:topLinePunct w:val="0"/>
              <w:autoSpaceDE/>
              <w:autoSpaceDN/>
              <w:bidi w:val="0"/>
              <w:spacing w:line="440" w:lineRule="exact"/>
              <w:ind w:left="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600</w:t>
            </w:r>
          </w:p>
        </w:tc>
        <w:tc>
          <w:tcPr>
            <w:tcW w:w="1417" w:type="dxa"/>
            <w:vAlign w:val="top"/>
          </w:tcPr>
          <w:p>
            <w:pPr>
              <w:keepNext w:val="0"/>
              <w:keepLines w:val="0"/>
              <w:pageBreakBefore w:val="0"/>
              <w:kinsoku/>
              <w:wordWrap/>
              <w:overflowPunct/>
              <w:topLinePunct w:val="0"/>
              <w:autoSpaceDE/>
              <w:autoSpaceDN/>
              <w:bidi w:val="0"/>
              <w:spacing w:line="440" w:lineRule="exact"/>
              <w:ind w:left="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18</w:t>
            </w:r>
          </w:p>
        </w:tc>
      </w:tr>
    </w:tbl>
    <w:p>
      <w:pPr>
        <w:keepNext w:val="0"/>
        <w:keepLines w:val="0"/>
        <w:pageBreakBefore w:val="0"/>
        <w:kinsoku/>
        <w:wordWrap/>
        <w:overflowPunct/>
        <w:topLinePunct w:val="0"/>
        <w:autoSpaceDE/>
        <w:autoSpaceDN/>
        <w:bidi w:val="0"/>
        <w:spacing w:line="440" w:lineRule="exact"/>
        <w:ind w:left="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（二）技术参数</w:t>
      </w:r>
    </w:p>
    <w:p>
      <w:pPr>
        <w:keepNext w:val="0"/>
        <w:keepLines w:val="0"/>
        <w:pageBreakBefore w:val="0"/>
        <w:widowControl/>
        <w:numPr>
          <w:ilvl w:val="0"/>
          <w:numId w:val="0"/>
        </w:numPr>
        <w:shd w:val="clear" w:color="auto" w:fill="auto"/>
        <w:kinsoku/>
        <w:wordWrap/>
        <w:overflowPunct/>
        <w:topLinePunct w:val="0"/>
        <w:autoSpaceDE/>
        <w:autoSpaceDN/>
        <w:bidi w:val="0"/>
        <w:adjustRightInd w:val="0"/>
        <w:snapToGrid w:val="0"/>
        <w:spacing w:line="440" w:lineRule="exact"/>
        <w:ind w:lef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1.适用范围与功能：用于连续监测成人皮下组织间液中葡萄糖浓度。</w:t>
      </w:r>
    </w:p>
    <w:p>
      <w:pPr>
        <w:keepNext w:val="0"/>
        <w:keepLines w:val="0"/>
        <w:pageBreakBefore w:val="0"/>
        <w:widowControl/>
        <w:numPr>
          <w:ilvl w:val="0"/>
          <w:numId w:val="0"/>
        </w:numPr>
        <w:shd w:val="clear" w:color="auto" w:fill="auto"/>
        <w:kinsoku/>
        <w:wordWrap/>
        <w:overflowPunct/>
        <w:topLinePunct w:val="0"/>
        <w:autoSpaceDE/>
        <w:autoSpaceDN/>
        <w:bidi w:val="0"/>
        <w:adjustRightInd w:val="0"/>
        <w:snapToGrid w:val="0"/>
        <w:spacing w:line="440" w:lineRule="exact"/>
        <w:ind w:lef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val="0"/>
          <w:color w:val="auto"/>
          <w:sz w:val="24"/>
          <w:szCs w:val="24"/>
          <w:lang w:val="en-US" w:eastAsia="zh-CN"/>
        </w:rPr>
        <w:t>★</w:t>
      </w:r>
      <w:r>
        <w:rPr>
          <w:rFonts w:hint="eastAsia" w:ascii="宋体" w:hAnsi="宋体" w:eastAsia="宋体" w:cs="宋体"/>
          <w:color w:val="auto"/>
          <w:sz w:val="24"/>
          <w:szCs w:val="24"/>
          <w:highlight w:val="none"/>
          <w:lang w:val="en-US" w:eastAsia="zh-CN"/>
        </w:rPr>
        <w:t>2.校准方式：无需指尖血校准。</w:t>
      </w:r>
    </w:p>
    <w:p>
      <w:pPr>
        <w:keepNext w:val="0"/>
        <w:keepLines w:val="0"/>
        <w:pageBreakBefore w:val="0"/>
        <w:widowControl/>
        <w:numPr>
          <w:ilvl w:val="0"/>
          <w:numId w:val="0"/>
        </w:numPr>
        <w:shd w:val="clear" w:color="auto" w:fill="auto"/>
        <w:kinsoku/>
        <w:wordWrap/>
        <w:overflowPunct/>
        <w:topLinePunct w:val="0"/>
        <w:autoSpaceDE/>
        <w:autoSpaceDN/>
        <w:bidi w:val="0"/>
        <w:adjustRightInd w:val="0"/>
        <w:snapToGrid w:val="0"/>
        <w:spacing w:line="440" w:lineRule="exact"/>
        <w:ind w:lef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3.监测时长≥10天，为用户提供实时血糖水平、趋势、波动等特征。</w:t>
      </w:r>
    </w:p>
    <w:p>
      <w:pPr>
        <w:keepNext w:val="0"/>
        <w:keepLines w:val="0"/>
        <w:pageBreakBefore w:val="0"/>
        <w:widowControl/>
        <w:numPr>
          <w:ilvl w:val="0"/>
          <w:numId w:val="0"/>
        </w:numPr>
        <w:shd w:val="clear" w:color="auto" w:fill="auto"/>
        <w:kinsoku/>
        <w:wordWrap/>
        <w:overflowPunct/>
        <w:topLinePunct w:val="0"/>
        <w:autoSpaceDE/>
        <w:autoSpaceDN/>
        <w:bidi w:val="0"/>
        <w:adjustRightInd w:val="0"/>
        <w:snapToGrid w:val="0"/>
        <w:spacing w:line="440" w:lineRule="exact"/>
        <w:ind w:lef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4.提醒功能：可提供高血糖、低血糖等提醒信息。</w:t>
      </w:r>
    </w:p>
    <w:p>
      <w:pPr>
        <w:keepNext w:val="0"/>
        <w:keepLines w:val="0"/>
        <w:pageBreakBefore w:val="0"/>
        <w:widowControl/>
        <w:numPr>
          <w:ilvl w:val="0"/>
          <w:numId w:val="0"/>
        </w:numPr>
        <w:shd w:val="clear" w:color="auto" w:fill="auto"/>
        <w:kinsoku/>
        <w:wordWrap/>
        <w:overflowPunct/>
        <w:topLinePunct w:val="0"/>
        <w:autoSpaceDE/>
        <w:autoSpaceDN/>
        <w:bidi w:val="0"/>
        <w:adjustRightInd w:val="0"/>
        <w:snapToGrid w:val="0"/>
        <w:spacing w:line="440" w:lineRule="exact"/>
        <w:ind w:lef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val="0"/>
          <w:color w:val="auto"/>
          <w:sz w:val="24"/>
          <w:szCs w:val="24"/>
          <w:lang w:val="en-US" w:eastAsia="zh-CN"/>
        </w:rPr>
        <w:t>★</w:t>
      </w:r>
      <w:r>
        <w:rPr>
          <w:rFonts w:hint="eastAsia" w:ascii="宋体" w:hAnsi="宋体" w:eastAsia="宋体" w:cs="宋体"/>
          <w:color w:val="auto"/>
          <w:sz w:val="24"/>
          <w:szCs w:val="24"/>
          <w:highlight w:val="none"/>
          <w:lang w:val="en-US" w:eastAsia="zh-CN"/>
        </w:rPr>
        <w:t>5.传感器平均绝对相对误差（MARD值）：≦10%。</w:t>
      </w:r>
    </w:p>
    <w:p>
      <w:pPr>
        <w:keepNext w:val="0"/>
        <w:keepLines w:val="0"/>
        <w:pageBreakBefore w:val="0"/>
        <w:widowControl/>
        <w:numPr>
          <w:ilvl w:val="0"/>
          <w:numId w:val="0"/>
        </w:numPr>
        <w:shd w:val="clear" w:color="auto" w:fill="auto"/>
        <w:kinsoku/>
        <w:wordWrap/>
        <w:overflowPunct/>
        <w:topLinePunct w:val="0"/>
        <w:autoSpaceDE/>
        <w:autoSpaceDN/>
        <w:bidi w:val="0"/>
        <w:adjustRightInd w:val="0"/>
        <w:snapToGrid w:val="0"/>
        <w:spacing w:line="440" w:lineRule="exact"/>
        <w:ind w:lef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6.传感器植入电极：单根软针≤6mm。  </w:t>
      </w:r>
    </w:p>
    <w:p>
      <w:pPr>
        <w:keepNext w:val="0"/>
        <w:keepLines w:val="0"/>
        <w:pageBreakBefore w:val="0"/>
        <w:widowControl/>
        <w:numPr>
          <w:ilvl w:val="0"/>
          <w:numId w:val="0"/>
        </w:numPr>
        <w:shd w:val="clear" w:color="auto" w:fill="auto"/>
        <w:kinsoku/>
        <w:wordWrap/>
        <w:overflowPunct/>
        <w:topLinePunct w:val="0"/>
        <w:autoSpaceDE/>
        <w:autoSpaceDN/>
        <w:bidi w:val="0"/>
        <w:adjustRightInd w:val="0"/>
        <w:snapToGrid w:val="0"/>
        <w:spacing w:line="440" w:lineRule="exact"/>
        <w:ind w:lef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7.采样频次：至少5分钟一次，每天≥288个数据。</w:t>
      </w:r>
    </w:p>
    <w:p>
      <w:pPr>
        <w:keepNext w:val="0"/>
        <w:keepLines w:val="0"/>
        <w:pageBreakBefore w:val="0"/>
        <w:widowControl/>
        <w:numPr>
          <w:ilvl w:val="0"/>
          <w:numId w:val="0"/>
        </w:numPr>
        <w:shd w:val="clear" w:color="auto" w:fill="auto"/>
        <w:kinsoku/>
        <w:wordWrap/>
        <w:overflowPunct/>
        <w:topLinePunct w:val="0"/>
        <w:autoSpaceDE/>
        <w:autoSpaceDN/>
        <w:bidi w:val="0"/>
        <w:adjustRightInd w:val="0"/>
        <w:snapToGrid w:val="0"/>
        <w:spacing w:line="440" w:lineRule="exact"/>
        <w:ind w:lef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8.数据读取：蓝牙实时自动传输，无需扫描。</w:t>
      </w:r>
    </w:p>
    <w:p>
      <w:pPr>
        <w:keepNext w:val="0"/>
        <w:keepLines w:val="0"/>
        <w:pageBreakBefore w:val="0"/>
        <w:widowControl/>
        <w:numPr>
          <w:ilvl w:val="0"/>
          <w:numId w:val="0"/>
        </w:numPr>
        <w:shd w:val="clear" w:color="auto" w:fill="auto"/>
        <w:kinsoku/>
        <w:wordWrap/>
        <w:overflowPunct/>
        <w:topLinePunct w:val="0"/>
        <w:autoSpaceDE/>
        <w:autoSpaceDN/>
        <w:bidi w:val="0"/>
        <w:adjustRightInd w:val="0"/>
        <w:snapToGrid w:val="0"/>
        <w:spacing w:line="440" w:lineRule="exact"/>
        <w:ind w:lef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9.产品结构：传感器发射器一体化设计。</w:t>
      </w:r>
    </w:p>
    <w:p>
      <w:pPr>
        <w:keepNext w:val="0"/>
        <w:keepLines w:val="0"/>
        <w:pageBreakBefore w:val="0"/>
        <w:widowControl/>
        <w:numPr>
          <w:ilvl w:val="0"/>
          <w:numId w:val="0"/>
        </w:numPr>
        <w:shd w:val="clear" w:color="auto" w:fill="auto"/>
        <w:kinsoku/>
        <w:wordWrap/>
        <w:overflowPunct/>
        <w:topLinePunct w:val="0"/>
        <w:autoSpaceDE/>
        <w:autoSpaceDN/>
        <w:bidi w:val="0"/>
        <w:adjustRightInd w:val="0"/>
        <w:snapToGrid w:val="0"/>
        <w:spacing w:line="440" w:lineRule="exact"/>
        <w:ind w:lef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10.传感器血糖浓度探测范围：2.2mmol/L~25.0mmol/L。</w:t>
      </w:r>
    </w:p>
    <w:p>
      <w:pPr>
        <w:keepNext w:val="0"/>
        <w:keepLines w:val="0"/>
        <w:pageBreakBefore w:val="0"/>
        <w:widowControl/>
        <w:numPr>
          <w:ilvl w:val="0"/>
          <w:numId w:val="0"/>
        </w:numPr>
        <w:shd w:val="clear" w:color="auto" w:fill="auto"/>
        <w:kinsoku/>
        <w:wordWrap/>
        <w:overflowPunct/>
        <w:topLinePunct w:val="0"/>
        <w:autoSpaceDE/>
        <w:autoSpaceDN/>
        <w:bidi w:val="0"/>
        <w:adjustRightInd w:val="0"/>
        <w:snapToGrid w:val="0"/>
        <w:spacing w:line="440" w:lineRule="exact"/>
        <w:ind w:lef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11.数据保存：传感器内存可存储≥10天数据，终端数据可永久保存。</w:t>
      </w:r>
    </w:p>
    <w:p>
      <w:pPr>
        <w:keepNext w:val="0"/>
        <w:keepLines w:val="0"/>
        <w:pageBreakBefore w:val="0"/>
        <w:widowControl/>
        <w:numPr>
          <w:ilvl w:val="0"/>
          <w:numId w:val="0"/>
        </w:numPr>
        <w:shd w:val="clear" w:color="auto" w:fill="auto"/>
        <w:kinsoku/>
        <w:wordWrap/>
        <w:overflowPunct/>
        <w:topLinePunct w:val="0"/>
        <w:autoSpaceDE/>
        <w:autoSpaceDN/>
        <w:bidi w:val="0"/>
        <w:adjustRightInd w:val="0"/>
        <w:snapToGrid w:val="0"/>
        <w:spacing w:line="440" w:lineRule="exact"/>
        <w:ind w:lef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12.传感器的防水等级：IPX8。</w:t>
      </w:r>
    </w:p>
    <w:p>
      <w:pPr>
        <w:keepNext w:val="0"/>
        <w:keepLines w:val="0"/>
        <w:pageBreakBefore w:val="0"/>
        <w:widowControl/>
        <w:numPr>
          <w:ilvl w:val="0"/>
          <w:numId w:val="0"/>
        </w:numPr>
        <w:shd w:val="clear" w:color="auto" w:fill="auto"/>
        <w:kinsoku/>
        <w:wordWrap/>
        <w:overflowPunct/>
        <w:topLinePunct w:val="0"/>
        <w:autoSpaceDE/>
        <w:autoSpaceDN/>
        <w:bidi w:val="0"/>
        <w:adjustRightInd w:val="0"/>
        <w:snapToGrid w:val="0"/>
        <w:spacing w:line="440" w:lineRule="exact"/>
        <w:ind w:lef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13.可查看血糖信息：每日、多日血糖及对比曲线、平均葡萄糖水平MG、最大血糖波动幅度LAGE、血糖目标范围时间TIR、TAR、TBR、变异系数CV、AGP图谱等。</w:t>
      </w:r>
    </w:p>
    <w:p>
      <w:pPr>
        <w:keepNext w:val="0"/>
        <w:keepLines w:val="0"/>
        <w:pageBreakBefore w:val="0"/>
        <w:widowControl/>
        <w:numPr>
          <w:ilvl w:val="0"/>
          <w:numId w:val="0"/>
        </w:numPr>
        <w:shd w:val="clear" w:color="auto" w:fill="auto"/>
        <w:kinsoku/>
        <w:wordWrap/>
        <w:overflowPunct/>
        <w:topLinePunct w:val="0"/>
        <w:autoSpaceDE/>
        <w:autoSpaceDN/>
        <w:bidi w:val="0"/>
        <w:adjustRightInd w:val="0"/>
        <w:snapToGrid w:val="0"/>
        <w:spacing w:line="440" w:lineRule="exact"/>
        <w:ind w:lef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14.有多种打卡及补打记录功能，以做出相应分析。出具报告的内容涵盖达标时间百分比、血糖波动LAGE、MAGE、MODD、SD、CV等。</w:t>
      </w:r>
    </w:p>
    <w:p>
      <w:pPr>
        <w:keepNext w:val="0"/>
        <w:keepLines w:val="0"/>
        <w:pageBreakBefore w:val="0"/>
        <w:widowControl/>
        <w:numPr>
          <w:ilvl w:val="0"/>
          <w:numId w:val="0"/>
        </w:numPr>
        <w:shd w:val="clear" w:color="auto" w:fill="auto"/>
        <w:kinsoku/>
        <w:wordWrap/>
        <w:overflowPunct/>
        <w:topLinePunct w:val="0"/>
        <w:autoSpaceDE/>
        <w:autoSpaceDN/>
        <w:bidi w:val="0"/>
        <w:adjustRightInd w:val="0"/>
        <w:snapToGrid w:val="0"/>
        <w:spacing w:line="440" w:lineRule="exact"/>
        <w:ind w:lef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15.数据可实时上传，可提供持续葡萄糖监测系统个人APP，实现亲友、医生数据共享，远程监护多人共管。</w:t>
      </w:r>
    </w:p>
    <w:p>
      <w:pPr>
        <w:keepNext w:val="0"/>
        <w:keepLines w:val="0"/>
        <w:pageBreakBefore w:val="0"/>
        <w:widowControl/>
        <w:numPr>
          <w:ilvl w:val="0"/>
          <w:numId w:val="0"/>
        </w:numPr>
        <w:shd w:val="clear" w:color="auto" w:fill="auto"/>
        <w:kinsoku/>
        <w:wordWrap/>
        <w:overflowPunct/>
        <w:topLinePunct w:val="0"/>
        <w:autoSpaceDE/>
        <w:autoSpaceDN/>
        <w:bidi w:val="0"/>
        <w:adjustRightInd w:val="0"/>
        <w:snapToGrid w:val="0"/>
        <w:spacing w:line="440" w:lineRule="exact"/>
        <w:ind w:lef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val="0"/>
          <w:color w:val="auto"/>
          <w:sz w:val="24"/>
          <w:szCs w:val="24"/>
          <w:lang w:val="en-US" w:eastAsia="zh-CN"/>
        </w:rPr>
        <w:t>★</w:t>
      </w:r>
      <w:r>
        <w:rPr>
          <w:rFonts w:hint="eastAsia" w:ascii="宋体" w:hAnsi="宋体" w:eastAsia="宋体" w:cs="宋体"/>
          <w:color w:val="auto"/>
          <w:sz w:val="24"/>
          <w:szCs w:val="24"/>
          <w:highlight w:val="none"/>
          <w:lang w:val="en-US" w:eastAsia="zh-CN"/>
        </w:rPr>
        <w:t>16.提供医生APP可实现一机多患者管理。</w:t>
      </w:r>
    </w:p>
    <w:p>
      <w:pPr>
        <w:keepNext w:val="0"/>
        <w:keepLines w:val="0"/>
        <w:pageBreakBefore w:val="0"/>
        <w:widowControl/>
        <w:numPr>
          <w:ilvl w:val="0"/>
          <w:numId w:val="0"/>
        </w:numPr>
        <w:shd w:val="clear" w:color="auto" w:fill="auto"/>
        <w:kinsoku/>
        <w:wordWrap/>
        <w:overflowPunct/>
        <w:topLinePunct w:val="0"/>
        <w:autoSpaceDE/>
        <w:autoSpaceDN/>
        <w:bidi w:val="0"/>
        <w:adjustRightInd w:val="0"/>
        <w:snapToGrid w:val="0"/>
        <w:spacing w:line="440" w:lineRule="exact"/>
        <w:ind w:lef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17.提供系统软件，可实现院内外血糖信息互通功能。</w:t>
      </w:r>
    </w:p>
    <w:p>
      <w:pPr>
        <w:keepNext w:val="0"/>
        <w:keepLines w:val="0"/>
        <w:pageBreakBefore w:val="0"/>
        <w:widowControl/>
        <w:numPr>
          <w:ilvl w:val="0"/>
          <w:numId w:val="0"/>
        </w:numPr>
        <w:shd w:val="clear" w:color="auto" w:fill="auto"/>
        <w:kinsoku/>
        <w:wordWrap/>
        <w:overflowPunct/>
        <w:topLinePunct w:val="0"/>
        <w:autoSpaceDE/>
        <w:autoSpaceDN/>
        <w:bidi w:val="0"/>
        <w:adjustRightInd w:val="0"/>
        <w:snapToGrid w:val="0"/>
        <w:spacing w:line="440" w:lineRule="exact"/>
        <w:ind w:lef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18.佩戴后1小时内显示血糖信息，减少医患等待血糖数值时间。</w:t>
      </w:r>
    </w:p>
    <w:p>
      <w:pPr>
        <w:keepNext w:val="0"/>
        <w:keepLines w:val="0"/>
        <w:pageBreakBefore w:val="0"/>
        <w:widowControl/>
        <w:numPr>
          <w:ilvl w:val="0"/>
          <w:numId w:val="0"/>
        </w:numPr>
        <w:shd w:val="clear" w:color="auto" w:fill="auto"/>
        <w:kinsoku/>
        <w:wordWrap/>
        <w:overflowPunct/>
        <w:topLinePunct w:val="0"/>
        <w:autoSpaceDE/>
        <w:autoSpaceDN/>
        <w:bidi w:val="0"/>
        <w:adjustRightInd w:val="0"/>
        <w:snapToGrid w:val="0"/>
        <w:spacing w:line="440" w:lineRule="exact"/>
        <w:ind w:left="0"/>
        <w:textAlignment w:val="auto"/>
        <w:rPr>
          <w:rFonts w:hint="eastAsia" w:ascii="宋体" w:hAnsi="宋体" w:eastAsia="宋体" w:cs="宋体"/>
          <w:b w:val="0"/>
          <w:i w:val="0"/>
          <w:caps w:val="0"/>
          <w:spacing w:val="0"/>
          <w:w w:val="100"/>
          <w:sz w:val="24"/>
          <w:szCs w:val="24"/>
        </w:rPr>
      </w:pPr>
    </w:p>
    <w:p>
      <w:pPr>
        <w:keepNext w:val="0"/>
        <w:keepLines w:val="0"/>
        <w:pageBreakBefore w:val="0"/>
        <w:kinsoku/>
        <w:wordWrap/>
        <w:overflowPunct/>
        <w:topLinePunct w:val="0"/>
        <w:autoSpaceDE/>
        <w:autoSpaceDN/>
        <w:bidi w:val="0"/>
        <w:spacing w:line="440" w:lineRule="exact"/>
        <w:ind w:left="0"/>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注：1、如果在技术参数或配置中标明了品牌或产地，则仅供参考，并非指定，投标人可以选用替代的方案，但这种替代整体上要优于或相当于招标文件的相关要求。</w:t>
      </w:r>
    </w:p>
    <w:p>
      <w:pPr>
        <w:keepNext w:val="0"/>
        <w:keepLines w:val="0"/>
        <w:pageBreakBefore w:val="0"/>
        <w:widowControl/>
        <w:kinsoku/>
        <w:wordWrap/>
        <w:overflowPunct/>
        <w:topLinePunct w:val="0"/>
        <w:autoSpaceDE/>
        <w:autoSpaceDN/>
        <w:bidi w:val="0"/>
        <w:spacing w:line="440" w:lineRule="exact"/>
        <w:ind w:left="0" w:firstLine="480" w:firstLineChars="200"/>
        <w:jc w:val="left"/>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2、为鼓励不同品牌的充分竞争，如某货物或设备的某技术参数或要求属于个别品牌专有，则该技术参数及要求不具有限制性，投标人可对该参数或要求进行适当调整，并应当说明调整的理由，且该调整须经评委会审核认可。</w:t>
      </w:r>
    </w:p>
    <w:p>
      <w:pPr>
        <w:pStyle w:val="4"/>
        <w:keepNext w:val="0"/>
        <w:keepLines w:val="0"/>
        <w:pageBreakBefore w:val="0"/>
        <w:kinsoku/>
        <w:wordWrap/>
        <w:overflowPunct/>
        <w:topLinePunct w:val="0"/>
        <w:autoSpaceDE/>
        <w:autoSpaceDN/>
        <w:bidi w:val="0"/>
        <w:spacing w:line="440" w:lineRule="exact"/>
        <w:ind w:left="0" w:firstLine="480" w:firstLineChars="200"/>
        <w:textAlignment w:val="auto"/>
        <w:rPr>
          <w:rFonts w:hint="eastAsia" w:ascii="宋体" w:hAnsi="宋体" w:eastAsia="宋体" w:cs="宋体"/>
          <w:b w:val="0"/>
          <w:color w:val="FF0000"/>
          <w:sz w:val="24"/>
          <w:szCs w:val="24"/>
          <w:highlight w:val="none"/>
          <w:lang w:val="en-US" w:eastAsia="zh-CN"/>
        </w:rPr>
      </w:pPr>
      <w:r>
        <w:rPr>
          <w:rFonts w:hint="eastAsia" w:ascii="宋体" w:hAnsi="宋体" w:eastAsia="宋体" w:cs="宋体"/>
          <w:b w:val="0"/>
          <w:color w:val="FF0000"/>
          <w:sz w:val="24"/>
          <w:szCs w:val="24"/>
          <w:highlight w:val="none"/>
          <w:lang w:val="en-US" w:eastAsia="zh-CN"/>
        </w:rPr>
        <w:t>3、所有描述为“支持”的，均表示具备、配置、提供、实现等意思，是要满足技术参数的要求。</w:t>
      </w:r>
    </w:p>
    <w:p>
      <w:pPr>
        <w:pStyle w:val="4"/>
        <w:keepNext w:val="0"/>
        <w:keepLines w:val="0"/>
        <w:pageBreakBefore w:val="0"/>
        <w:kinsoku/>
        <w:wordWrap/>
        <w:overflowPunct/>
        <w:topLinePunct w:val="0"/>
        <w:autoSpaceDE/>
        <w:autoSpaceDN/>
        <w:bidi w:val="0"/>
        <w:spacing w:line="440" w:lineRule="exact"/>
        <w:ind w:left="0" w:firstLine="480" w:firstLineChars="200"/>
        <w:textAlignment w:val="auto"/>
        <w:rPr>
          <w:rFonts w:hint="eastAsia" w:ascii="宋体" w:hAnsi="宋体" w:eastAsia="宋体" w:cs="宋体"/>
          <w:b w:val="0"/>
          <w:color w:val="FF0000"/>
          <w:sz w:val="24"/>
          <w:szCs w:val="24"/>
          <w:highlight w:val="yellow"/>
        </w:rPr>
      </w:pPr>
      <w:r>
        <w:rPr>
          <w:rFonts w:hint="eastAsia" w:ascii="宋体" w:hAnsi="宋体" w:eastAsia="宋体" w:cs="宋体"/>
          <w:b w:val="0"/>
          <w:color w:val="FF0000"/>
          <w:sz w:val="24"/>
          <w:szCs w:val="24"/>
          <w:highlight w:val="yellow"/>
          <w:lang w:val="en-US" w:eastAsia="zh-CN"/>
        </w:rPr>
        <w:t>4、招标文件中用“★”标注的技术参数为不允许负偏离的实质性要求和条件（如果招标文件中有标注“★”的技术参数）。投标人对用“★”标注的技术参数的响应情况须在投标文件中提供相应的证明材料予以证明。否则，评委会视为对招标文件中用“★”标注的技术参数出现负偏离。</w:t>
      </w:r>
    </w:p>
    <w:p>
      <w:pPr>
        <w:keepNext w:val="0"/>
        <w:keepLines w:val="0"/>
        <w:pageBreakBefore w:val="0"/>
        <w:kinsoku/>
        <w:wordWrap/>
        <w:overflowPunct/>
        <w:topLinePunct w:val="0"/>
        <w:autoSpaceDE/>
        <w:autoSpaceDN/>
        <w:bidi w:val="0"/>
        <w:spacing w:line="440" w:lineRule="exact"/>
        <w:ind w:left="0"/>
        <w:textAlignment w:val="auto"/>
        <w:rPr>
          <w:rFonts w:hint="eastAsia" w:ascii="宋体" w:hAnsi="宋体" w:eastAsia="宋体" w:cs="宋体"/>
          <w:sz w:val="24"/>
          <w:szCs w:val="24"/>
        </w:rPr>
      </w:pPr>
    </w:p>
    <w:p>
      <w:pPr>
        <w:keepNext w:val="0"/>
        <w:keepLines w:val="0"/>
        <w:pageBreakBefore w:val="0"/>
        <w:tabs>
          <w:tab w:val="left" w:pos="1050"/>
        </w:tabs>
        <w:kinsoku/>
        <w:wordWrap/>
        <w:overflowPunct/>
        <w:topLinePunct w:val="0"/>
        <w:autoSpaceDE/>
        <w:autoSpaceDN/>
        <w:bidi w:val="0"/>
        <w:spacing w:line="440" w:lineRule="exact"/>
        <w:ind w:left="0"/>
        <w:jc w:val="center"/>
        <w:textAlignment w:val="auto"/>
        <w:outlineLvl w:val="2"/>
        <w:rPr>
          <w:rFonts w:hint="eastAsia" w:ascii="宋体" w:hAnsi="宋体" w:eastAsia="宋体" w:cs="宋体"/>
          <w:b/>
          <w:sz w:val="24"/>
          <w:szCs w:val="24"/>
        </w:rPr>
      </w:pPr>
      <w:r>
        <w:rPr>
          <w:rFonts w:hint="eastAsia" w:ascii="宋体" w:hAnsi="宋体" w:eastAsia="宋体" w:cs="宋体"/>
          <w:b/>
          <w:sz w:val="24"/>
          <w:szCs w:val="24"/>
          <w:lang w:eastAsia="zh-CN"/>
        </w:rPr>
        <w:t>（</w:t>
      </w:r>
      <w:r>
        <w:rPr>
          <w:rFonts w:hint="eastAsia" w:ascii="宋体" w:hAnsi="宋体" w:eastAsia="宋体" w:cs="宋体"/>
          <w:b/>
          <w:sz w:val="24"/>
          <w:szCs w:val="24"/>
          <w:lang w:val="en-US" w:eastAsia="zh-CN"/>
        </w:rPr>
        <w:t>三</w:t>
      </w:r>
      <w:r>
        <w:rPr>
          <w:rFonts w:hint="eastAsia" w:ascii="宋体" w:hAnsi="宋体" w:eastAsia="宋体" w:cs="宋体"/>
          <w:b/>
          <w:sz w:val="24"/>
          <w:szCs w:val="24"/>
          <w:lang w:eastAsia="zh-CN"/>
        </w:rPr>
        <w:t>）</w:t>
      </w:r>
      <w:r>
        <w:rPr>
          <w:rFonts w:hint="eastAsia" w:ascii="宋体" w:hAnsi="宋体" w:eastAsia="宋体" w:cs="宋体"/>
          <w:b/>
          <w:sz w:val="24"/>
          <w:szCs w:val="24"/>
        </w:rPr>
        <w:t>商务要求</w:t>
      </w:r>
    </w:p>
    <w:p>
      <w:pPr>
        <w:keepNext w:val="0"/>
        <w:keepLines w:val="0"/>
        <w:pageBreakBefore w:val="0"/>
        <w:tabs>
          <w:tab w:val="left" w:pos="7020"/>
        </w:tabs>
        <w:kinsoku/>
        <w:wordWrap/>
        <w:overflowPunct/>
        <w:topLinePunct w:val="0"/>
        <w:autoSpaceDE/>
        <w:autoSpaceDN/>
        <w:bidi w:val="0"/>
        <w:spacing w:line="440" w:lineRule="exact"/>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所有货物（包括零部件）须为全新的、未使用过的原装正品。提交货物的技术参数和配置应与招标文件的要求及其投标文件的技术响应表（如果被评委会接受的话）相一致。若招标文件及投标文件中无相应说明，则以国家有关部门最新颁布的相应标准及规范为准。</w:t>
      </w:r>
    </w:p>
    <w:p>
      <w:pPr>
        <w:keepNext w:val="0"/>
        <w:keepLines w:val="0"/>
        <w:pageBreakBefore w:val="0"/>
        <w:tabs>
          <w:tab w:val="left" w:pos="7020"/>
        </w:tabs>
        <w:kinsoku/>
        <w:wordWrap/>
        <w:overflowPunct/>
        <w:topLinePunct w:val="0"/>
        <w:autoSpaceDE/>
        <w:autoSpaceDN/>
        <w:bidi w:val="0"/>
        <w:spacing w:line="440" w:lineRule="exact"/>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2、所有货物必须符合国家相关强制性要求。</w:t>
      </w:r>
    </w:p>
    <w:p>
      <w:pPr>
        <w:keepNext w:val="0"/>
        <w:keepLines w:val="0"/>
        <w:pageBreakBefore w:val="0"/>
        <w:kinsoku/>
        <w:wordWrap/>
        <w:overflowPunct/>
        <w:topLinePunct w:val="0"/>
        <w:autoSpaceDE/>
        <w:autoSpaceDN/>
        <w:bidi w:val="0"/>
        <w:snapToGrid w:val="0"/>
        <w:spacing w:line="440" w:lineRule="exact"/>
        <w:ind w:left="0" w:firstLine="480" w:firstLineChars="200"/>
        <w:textAlignment w:val="auto"/>
        <w:rPr>
          <w:rFonts w:hint="eastAsia" w:ascii="宋体" w:hAnsi="宋体" w:eastAsia="宋体" w:cs="宋体"/>
          <w:sz w:val="24"/>
          <w:szCs w:val="24"/>
          <w:highlight w:val="yellow"/>
        </w:rPr>
      </w:pPr>
      <w:r>
        <w:rPr>
          <w:rFonts w:hint="eastAsia" w:ascii="宋体" w:hAnsi="宋体" w:eastAsia="宋体" w:cs="宋体"/>
          <w:sz w:val="24"/>
          <w:szCs w:val="24"/>
          <w:highlight w:val="yellow"/>
          <w:lang w:val="en-US" w:eastAsia="zh-CN"/>
        </w:rPr>
        <w:t>2.1</w:t>
      </w:r>
      <w:r>
        <w:rPr>
          <w:rFonts w:hint="eastAsia" w:ascii="宋体" w:hAnsi="宋体" w:eastAsia="宋体" w:cs="宋体"/>
          <w:color w:val="000000"/>
          <w:sz w:val="24"/>
          <w:szCs w:val="24"/>
          <w:highlight w:val="yellow"/>
        </w:rPr>
        <w:t>投标人须在投标文件中提供</w:t>
      </w:r>
      <w:r>
        <w:rPr>
          <w:rFonts w:hint="eastAsia" w:ascii="宋体" w:hAnsi="宋体" w:eastAsia="宋体" w:cs="宋体"/>
          <w:color w:val="FF0000"/>
          <w:sz w:val="24"/>
          <w:szCs w:val="24"/>
          <w:highlight w:val="yellow"/>
          <w:lang w:eastAsia="zh-CN"/>
        </w:rPr>
        <w:t>持续葡萄糖监测系统</w:t>
      </w:r>
      <w:r>
        <w:rPr>
          <w:rFonts w:hint="eastAsia" w:ascii="宋体" w:hAnsi="宋体" w:eastAsia="宋体" w:cs="宋体"/>
          <w:sz w:val="24"/>
          <w:szCs w:val="24"/>
          <w:highlight w:val="yellow"/>
          <w:lang w:val="en-US" w:eastAsia="zh-CN"/>
        </w:rPr>
        <w:t>的</w:t>
      </w:r>
      <w:r>
        <w:rPr>
          <w:rFonts w:hint="eastAsia" w:ascii="宋体" w:hAnsi="宋体" w:eastAsia="宋体" w:cs="宋体"/>
          <w:color w:val="000000"/>
          <w:sz w:val="24"/>
          <w:szCs w:val="24"/>
          <w:highlight w:val="yellow"/>
        </w:rPr>
        <w:t>医疗器械注册证扫描</w:t>
      </w:r>
      <w:r>
        <w:rPr>
          <w:rFonts w:hint="eastAsia" w:ascii="宋体" w:hAnsi="宋体" w:eastAsia="宋体" w:cs="宋体"/>
          <w:sz w:val="24"/>
          <w:szCs w:val="24"/>
          <w:highlight w:val="yellow"/>
        </w:rPr>
        <w:t>件（在有效期内），否则视为商务要求未完全响应。</w:t>
      </w:r>
    </w:p>
    <w:p>
      <w:pPr>
        <w:keepNext w:val="0"/>
        <w:keepLines w:val="0"/>
        <w:pageBreakBefore w:val="0"/>
        <w:tabs>
          <w:tab w:val="left" w:pos="7020"/>
        </w:tabs>
        <w:kinsoku/>
        <w:wordWrap/>
        <w:overflowPunct/>
        <w:topLinePunct w:val="0"/>
        <w:autoSpaceDE/>
        <w:autoSpaceDN/>
        <w:bidi w:val="0"/>
        <w:spacing w:line="440" w:lineRule="exact"/>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3、技术支持</w:t>
      </w:r>
    </w:p>
    <w:p>
      <w:pPr>
        <w:keepNext w:val="0"/>
        <w:keepLines w:val="0"/>
        <w:pageBreakBefore w:val="0"/>
        <w:tabs>
          <w:tab w:val="left" w:pos="7020"/>
        </w:tabs>
        <w:kinsoku/>
        <w:wordWrap/>
        <w:overflowPunct/>
        <w:topLinePunct w:val="0"/>
        <w:autoSpaceDE/>
        <w:autoSpaceDN/>
        <w:bidi w:val="0"/>
        <w:spacing w:line="440" w:lineRule="exact"/>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3.1中标人应向招标人提供全方位及时而有效的技术支持和服务。</w:t>
      </w:r>
    </w:p>
    <w:p>
      <w:pPr>
        <w:keepNext w:val="0"/>
        <w:keepLines w:val="0"/>
        <w:pageBreakBefore w:val="0"/>
        <w:tabs>
          <w:tab w:val="left" w:pos="7020"/>
        </w:tabs>
        <w:kinsoku/>
        <w:wordWrap/>
        <w:overflowPunct/>
        <w:topLinePunct w:val="0"/>
        <w:autoSpaceDE/>
        <w:autoSpaceDN/>
        <w:bidi w:val="0"/>
        <w:spacing w:line="440" w:lineRule="exact"/>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3.2中标人负责供货、运输并安装调试完毕。</w:t>
      </w:r>
    </w:p>
    <w:p>
      <w:pPr>
        <w:keepNext w:val="0"/>
        <w:keepLines w:val="0"/>
        <w:pageBreakBefore w:val="0"/>
        <w:kinsoku/>
        <w:wordWrap/>
        <w:overflowPunct/>
        <w:topLinePunct w:val="0"/>
        <w:autoSpaceDE/>
        <w:autoSpaceDN/>
        <w:bidi w:val="0"/>
        <w:snapToGrid w:val="0"/>
        <w:spacing w:line="440" w:lineRule="exact"/>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3.3 如中标人发生兼并、重组，招标人本项目的供货、安装、维护保养等相关工作必须由新组建的公司按招标文件及投标文件承担相应的义务。</w:t>
      </w:r>
    </w:p>
    <w:p>
      <w:pPr>
        <w:keepNext w:val="0"/>
        <w:keepLines w:val="0"/>
        <w:pageBreakBefore w:val="0"/>
        <w:kinsoku/>
        <w:wordWrap/>
        <w:overflowPunct/>
        <w:topLinePunct w:val="0"/>
        <w:autoSpaceDE/>
        <w:autoSpaceDN/>
        <w:bidi w:val="0"/>
        <w:snapToGrid w:val="0"/>
        <w:spacing w:line="440" w:lineRule="exact"/>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3.4 中标人在项目实施过程中，国家对相关项目有资质要求的，进场单位和人员的资质、资格符合国家、省、市有关规定。实施期间中标人所发生的或中标人实施场地内发生的或中标人原因造成的安全事故，均应由中标人负责按有关规定处理善后事宜，并承担给采购人造成的损失。</w:t>
      </w:r>
    </w:p>
    <w:p>
      <w:pPr>
        <w:keepNext w:val="0"/>
        <w:keepLines w:val="0"/>
        <w:pageBreakBefore w:val="0"/>
        <w:kinsoku/>
        <w:wordWrap/>
        <w:overflowPunct/>
        <w:topLinePunct w:val="0"/>
        <w:autoSpaceDE/>
        <w:autoSpaceDN/>
        <w:bidi w:val="0"/>
        <w:snapToGrid w:val="0"/>
        <w:spacing w:line="440" w:lineRule="exact"/>
        <w:ind w:left="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3.5 投标文件中为本项目配备的人员力量，在合同履行期间，中标人须按采购人要求到达本项目现场提供相应服务，否则采购人有权解除采购合同</w:t>
      </w:r>
      <w:r>
        <w:rPr>
          <w:rFonts w:hint="eastAsia" w:ascii="宋体" w:hAnsi="宋体" w:eastAsia="宋体" w:cs="宋体"/>
          <w:sz w:val="24"/>
          <w:szCs w:val="24"/>
          <w:lang w:eastAsia="zh-CN"/>
        </w:rPr>
        <w:t>。</w:t>
      </w:r>
    </w:p>
    <w:p>
      <w:pPr>
        <w:keepNext w:val="0"/>
        <w:keepLines w:val="0"/>
        <w:pageBreakBefore w:val="0"/>
        <w:kinsoku/>
        <w:wordWrap/>
        <w:overflowPunct/>
        <w:topLinePunct w:val="0"/>
        <w:autoSpaceDE/>
        <w:autoSpaceDN/>
        <w:bidi w:val="0"/>
        <w:snapToGrid w:val="0"/>
        <w:spacing w:line="440" w:lineRule="exact"/>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4、质保及售后服务：                                        </w:t>
      </w:r>
    </w:p>
    <w:p>
      <w:pPr>
        <w:keepNext w:val="0"/>
        <w:keepLines w:val="0"/>
        <w:pageBreakBefore w:val="0"/>
        <w:kinsoku/>
        <w:wordWrap/>
        <w:overflowPunct/>
        <w:topLinePunct w:val="0"/>
        <w:autoSpaceDE/>
        <w:autoSpaceDN/>
        <w:bidi w:val="0"/>
        <w:spacing w:line="440" w:lineRule="exact"/>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.1</w:t>
      </w:r>
      <w:r>
        <w:rPr>
          <w:rFonts w:hint="eastAsia" w:ascii="宋体" w:hAnsi="宋体" w:eastAsia="宋体" w:cs="宋体"/>
          <w:sz w:val="24"/>
          <w:szCs w:val="24"/>
          <w:highlight w:val="yellow"/>
          <w:lang w:val="en-US" w:eastAsia="zh-CN"/>
        </w:rPr>
        <w:t xml:space="preserve">产品有效期：投标人交货时所提供的货物距离产品有效期到期的时间不得少于 </w:t>
      </w:r>
      <w:r>
        <w:rPr>
          <w:rFonts w:hint="eastAsia" w:ascii="宋体" w:hAnsi="宋体" w:eastAsia="宋体" w:cs="宋体"/>
          <w:color w:val="FF0000"/>
          <w:sz w:val="24"/>
          <w:szCs w:val="24"/>
          <w:highlight w:val="yellow"/>
          <w:u w:val="single"/>
          <w:lang w:val="en-US" w:eastAsia="zh-CN"/>
        </w:rPr>
        <w:t>1年</w:t>
      </w:r>
      <w:r>
        <w:rPr>
          <w:rFonts w:hint="eastAsia" w:ascii="宋体" w:hAnsi="宋体" w:eastAsia="宋体" w:cs="宋体"/>
          <w:color w:val="FF0000"/>
          <w:sz w:val="24"/>
          <w:szCs w:val="24"/>
          <w:highlight w:val="yellow"/>
          <w:u w:val="none"/>
          <w:lang w:val="en-US" w:eastAsia="zh-CN"/>
        </w:rPr>
        <w:t>（自验收合格之日起计算）。</w:t>
      </w:r>
      <w:r>
        <w:rPr>
          <w:rFonts w:hint="eastAsia" w:ascii="宋体" w:hAnsi="宋体" w:eastAsia="宋体" w:cs="宋体"/>
          <w:sz w:val="24"/>
          <w:szCs w:val="24"/>
          <w:highlight w:val="yellow"/>
          <w:lang w:val="en-US" w:eastAsia="zh-CN"/>
        </w:rPr>
        <w:t>所报货物的有效期须与文件中规定的有效期相一致。</w:t>
      </w:r>
    </w:p>
    <w:p>
      <w:pPr>
        <w:keepNext w:val="0"/>
        <w:keepLines w:val="0"/>
        <w:pageBreakBefore w:val="0"/>
        <w:kinsoku/>
        <w:wordWrap/>
        <w:overflowPunct/>
        <w:topLinePunct w:val="0"/>
        <w:autoSpaceDE/>
        <w:autoSpaceDN/>
        <w:bidi w:val="0"/>
        <w:snapToGrid w:val="0"/>
        <w:spacing w:line="440" w:lineRule="exact"/>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 xml:space="preserve">.2中标人须设有维修服务电话，负责解答用户在货物使用中遇到的问题，及时提出解决问题的建议和操作方法。                                                                        </w:t>
      </w:r>
    </w:p>
    <w:p>
      <w:pPr>
        <w:keepNext w:val="0"/>
        <w:keepLines w:val="0"/>
        <w:pageBreakBefore w:val="0"/>
        <w:kinsoku/>
        <w:wordWrap/>
        <w:overflowPunct/>
        <w:topLinePunct w:val="0"/>
        <w:autoSpaceDE/>
        <w:autoSpaceDN/>
        <w:bidi w:val="0"/>
        <w:snapToGrid w:val="0"/>
        <w:spacing w:line="440" w:lineRule="exact"/>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.3售后服务响应时间：中标人须</w:t>
      </w:r>
      <w:r>
        <w:rPr>
          <w:rFonts w:hint="eastAsia" w:ascii="宋体" w:hAnsi="宋体" w:eastAsia="宋体" w:cs="宋体"/>
          <w:color w:val="FF0000"/>
          <w:sz w:val="24"/>
          <w:szCs w:val="24"/>
          <w:u w:val="single"/>
        </w:rPr>
        <w:t>2小时</w:t>
      </w:r>
      <w:r>
        <w:rPr>
          <w:rFonts w:hint="eastAsia" w:ascii="宋体" w:hAnsi="宋体" w:eastAsia="宋体" w:cs="宋体"/>
          <w:sz w:val="24"/>
          <w:szCs w:val="24"/>
        </w:rPr>
        <w:t>内响应,电话响应无法解决，中标人必须在接报修电话</w:t>
      </w:r>
      <w:r>
        <w:rPr>
          <w:rFonts w:hint="eastAsia" w:ascii="宋体" w:hAnsi="宋体" w:eastAsia="宋体" w:cs="宋体"/>
          <w:color w:val="FF0000"/>
          <w:sz w:val="24"/>
          <w:szCs w:val="24"/>
          <w:u w:val="single"/>
        </w:rPr>
        <w:t>24小时</w:t>
      </w:r>
      <w:r>
        <w:rPr>
          <w:rFonts w:hint="eastAsia" w:ascii="宋体" w:hAnsi="宋体" w:eastAsia="宋体" w:cs="宋体"/>
          <w:sz w:val="24"/>
          <w:szCs w:val="24"/>
        </w:rPr>
        <w:t>内到达现场，</w:t>
      </w:r>
      <w:r>
        <w:rPr>
          <w:rFonts w:hint="eastAsia" w:ascii="宋体" w:hAnsi="宋体" w:eastAsia="宋体" w:cs="宋体"/>
          <w:color w:val="FF0000"/>
          <w:sz w:val="24"/>
          <w:szCs w:val="24"/>
          <w:u w:val="single"/>
        </w:rPr>
        <w:t>72小时内</w:t>
      </w:r>
      <w:r>
        <w:rPr>
          <w:rFonts w:hint="eastAsia" w:ascii="宋体" w:hAnsi="宋体" w:eastAsia="宋体" w:cs="宋体"/>
          <w:sz w:val="24"/>
          <w:szCs w:val="24"/>
        </w:rPr>
        <w:t>解决问题。如不能解决的，中标人需免费提供备机供招标人使用。免费质保期内如货物出现质量问题，中标人负责免费修复，对于无法修复的情况，中标人负责免费更换。</w:t>
      </w:r>
    </w:p>
    <w:p>
      <w:pPr>
        <w:keepNext w:val="0"/>
        <w:keepLines w:val="0"/>
        <w:pageBreakBefore w:val="0"/>
        <w:numPr>
          <w:ilvl w:val="0"/>
          <w:numId w:val="0"/>
        </w:numPr>
        <w:kinsoku/>
        <w:wordWrap/>
        <w:overflowPunct/>
        <w:topLinePunct w:val="0"/>
        <w:autoSpaceDE/>
        <w:autoSpaceDN/>
        <w:bidi w:val="0"/>
        <w:snapToGrid w:val="0"/>
        <w:spacing w:line="440" w:lineRule="exact"/>
        <w:ind w:left="0" w:firstLine="480" w:firstLineChars="200"/>
        <w:textAlignment w:val="auto"/>
        <w:rPr>
          <w:rFonts w:hint="eastAsia" w:ascii="宋体" w:hAnsi="宋体" w:eastAsia="宋体" w:cs="宋体"/>
          <w:sz w:val="24"/>
          <w:szCs w:val="24"/>
        </w:rPr>
      </w:pPr>
      <w:r>
        <w:rPr>
          <w:rFonts w:hint="eastAsia" w:ascii="宋体" w:hAnsi="宋体" w:eastAsia="宋体" w:cs="宋体"/>
          <w:kern w:val="2"/>
          <w:sz w:val="24"/>
          <w:szCs w:val="24"/>
          <w:lang w:val="en-US" w:eastAsia="zh-CN" w:bidi="ar-SA"/>
        </w:rPr>
        <w:t>5、</w:t>
      </w:r>
      <w:r>
        <w:rPr>
          <w:rFonts w:hint="eastAsia" w:ascii="宋体" w:hAnsi="宋体" w:eastAsia="宋体" w:cs="宋体"/>
          <w:sz w:val="24"/>
          <w:szCs w:val="24"/>
        </w:rPr>
        <w:t>培训：</w:t>
      </w:r>
    </w:p>
    <w:p>
      <w:pPr>
        <w:keepNext w:val="0"/>
        <w:keepLines w:val="0"/>
        <w:pageBreakBefore w:val="0"/>
        <w:numPr>
          <w:ilvl w:val="0"/>
          <w:numId w:val="0"/>
        </w:numPr>
        <w:kinsoku/>
        <w:wordWrap/>
        <w:overflowPunct/>
        <w:topLinePunct w:val="0"/>
        <w:autoSpaceDE/>
        <w:autoSpaceDN/>
        <w:bidi w:val="0"/>
        <w:snapToGrid w:val="0"/>
        <w:spacing w:line="440" w:lineRule="exact"/>
        <w:ind w:left="0" w:firstLine="480" w:firstLineChars="200"/>
        <w:textAlignment w:val="auto"/>
        <w:rPr>
          <w:rFonts w:hint="eastAsia" w:ascii="宋体" w:hAnsi="宋体" w:eastAsia="宋体" w:cs="宋体"/>
          <w:sz w:val="24"/>
          <w:szCs w:val="24"/>
          <w:lang w:eastAsia="zh-CN"/>
        </w:rPr>
      </w:pPr>
      <w:r>
        <w:rPr>
          <w:rFonts w:hint="eastAsia" w:ascii="宋体" w:hAnsi="宋体" w:eastAsia="宋体" w:cs="宋体"/>
          <w:kern w:val="2"/>
          <w:sz w:val="24"/>
          <w:szCs w:val="24"/>
          <w:lang w:val="en-US" w:eastAsia="zh-CN" w:bidi="ar-SA"/>
        </w:rPr>
        <w:t>5.1</w:t>
      </w:r>
      <w:r>
        <w:rPr>
          <w:rFonts w:hint="eastAsia" w:ascii="宋体" w:hAnsi="宋体" w:eastAsia="宋体" w:cs="宋体"/>
          <w:sz w:val="24"/>
          <w:szCs w:val="24"/>
        </w:rPr>
        <w:t>中标人应对招标人的操作人员免费提供现场培训</w:t>
      </w:r>
      <w:r>
        <w:rPr>
          <w:rFonts w:hint="eastAsia" w:ascii="宋体" w:hAnsi="宋体" w:eastAsia="宋体" w:cs="宋体"/>
          <w:sz w:val="24"/>
          <w:szCs w:val="24"/>
          <w:lang w:eastAsia="zh-CN"/>
        </w:rPr>
        <w:t>。</w:t>
      </w:r>
    </w:p>
    <w:p>
      <w:pPr>
        <w:keepNext w:val="0"/>
        <w:keepLines w:val="0"/>
        <w:pageBreakBefore w:val="0"/>
        <w:tabs>
          <w:tab w:val="left" w:pos="7020"/>
        </w:tabs>
        <w:kinsoku/>
        <w:wordWrap/>
        <w:overflowPunct/>
        <w:topLinePunct w:val="0"/>
        <w:autoSpaceDE/>
        <w:autoSpaceDN/>
        <w:bidi w:val="0"/>
        <w:spacing w:line="440" w:lineRule="exact"/>
        <w:ind w:left="0" w:firstLine="480" w:firstLineChars="200"/>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5.2现场培训能够根据用户需要，合理安排，使用户能够全面掌握设备的工作原理，熟练独立操作设备，并能够对设备进行日常维护与保养，简单故障诊断与排除。</w:t>
      </w:r>
    </w:p>
    <w:p>
      <w:pPr>
        <w:keepNext w:val="0"/>
        <w:keepLines w:val="0"/>
        <w:pageBreakBefore w:val="0"/>
        <w:tabs>
          <w:tab w:val="left" w:pos="7020"/>
        </w:tabs>
        <w:kinsoku/>
        <w:wordWrap/>
        <w:overflowPunct/>
        <w:topLinePunct w:val="0"/>
        <w:autoSpaceDE/>
        <w:autoSpaceDN/>
        <w:bidi w:val="0"/>
        <w:spacing w:line="440" w:lineRule="exact"/>
        <w:ind w:left="0" w:firstLine="480" w:firstLineChars="200"/>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 xml:space="preserve">5.3以上培训费用含在总报价中。 </w:t>
      </w:r>
    </w:p>
    <w:p>
      <w:pPr>
        <w:keepNext w:val="0"/>
        <w:keepLines w:val="0"/>
        <w:pageBreakBefore w:val="0"/>
        <w:kinsoku/>
        <w:wordWrap/>
        <w:overflowPunct/>
        <w:topLinePunct w:val="0"/>
        <w:autoSpaceDE/>
        <w:autoSpaceDN/>
        <w:bidi w:val="0"/>
        <w:spacing w:line="440" w:lineRule="exact"/>
        <w:ind w:left="0" w:firstLine="480" w:firstLineChars="200"/>
        <w:textAlignment w:val="auto"/>
        <w:rPr>
          <w:rFonts w:hint="eastAsia" w:ascii="宋体" w:hAnsi="宋体" w:eastAsia="宋体" w:cs="宋体"/>
          <w:sz w:val="24"/>
          <w:szCs w:val="24"/>
          <w:highlight w:val="yellow"/>
        </w:rPr>
      </w:pPr>
      <w:r>
        <w:rPr>
          <w:rFonts w:hint="eastAsia" w:ascii="宋体" w:hAnsi="宋体" w:eastAsia="宋体" w:cs="宋体"/>
          <w:sz w:val="24"/>
          <w:szCs w:val="24"/>
          <w:highlight w:val="yellow"/>
          <w:lang w:val="en-US" w:eastAsia="zh-CN"/>
        </w:rPr>
        <w:t>6、</w:t>
      </w:r>
      <w:r>
        <w:rPr>
          <w:rFonts w:hint="eastAsia" w:ascii="宋体" w:hAnsi="宋体" w:eastAsia="宋体" w:cs="宋体"/>
          <w:sz w:val="24"/>
          <w:szCs w:val="24"/>
          <w:highlight w:val="yellow"/>
        </w:rPr>
        <w:t>供货期：分批交货，合同签订后，接采购人书面通知之日起 7日内交货。</w:t>
      </w:r>
    </w:p>
    <w:p>
      <w:pPr>
        <w:keepNext w:val="0"/>
        <w:keepLines w:val="0"/>
        <w:pageBreakBefore w:val="0"/>
        <w:kinsoku/>
        <w:wordWrap/>
        <w:overflowPunct/>
        <w:topLinePunct w:val="0"/>
        <w:autoSpaceDE/>
        <w:autoSpaceDN/>
        <w:bidi w:val="0"/>
        <w:spacing w:line="440" w:lineRule="exact"/>
        <w:ind w:left="0" w:firstLine="480" w:firstLineChars="200"/>
        <w:textAlignment w:val="auto"/>
        <w:rPr>
          <w:rFonts w:hint="eastAsia" w:ascii="宋体" w:hAnsi="宋体" w:eastAsia="宋体" w:cs="宋体"/>
          <w:sz w:val="24"/>
          <w:szCs w:val="24"/>
          <w:highlight w:val="yellow"/>
        </w:rPr>
      </w:pPr>
      <w:r>
        <w:rPr>
          <w:rFonts w:hint="eastAsia" w:ascii="宋体" w:hAnsi="宋体" w:eastAsia="宋体" w:cs="宋体"/>
          <w:sz w:val="24"/>
          <w:szCs w:val="24"/>
          <w:highlight w:val="yellow"/>
          <w:lang w:val="en-US" w:eastAsia="zh-CN"/>
        </w:rPr>
        <w:t>7、</w:t>
      </w:r>
      <w:r>
        <w:rPr>
          <w:rFonts w:hint="eastAsia" w:ascii="宋体" w:hAnsi="宋体" w:eastAsia="宋体" w:cs="宋体"/>
          <w:sz w:val="24"/>
          <w:szCs w:val="24"/>
          <w:highlight w:val="yellow"/>
        </w:rPr>
        <w:t>供货与安装地点：</w:t>
      </w:r>
      <w:r>
        <w:rPr>
          <w:rFonts w:hint="eastAsia" w:ascii="宋体" w:hAnsi="宋体" w:eastAsia="宋体" w:cs="宋体"/>
          <w:sz w:val="24"/>
          <w:szCs w:val="24"/>
          <w:highlight w:val="yellow"/>
          <w:lang w:val="en-US" w:eastAsia="zh-CN"/>
        </w:rPr>
        <w:t>马鞍山市中医院（甲方</w:t>
      </w:r>
      <w:r>
        <w:rPr>
          <w:rFonts w:hint="eastAsia" w:ascii="宋体" w:hAnsi="宋体" w:eastAsia="宋体" w:cs="宋体"/>
          <w:sz w:val="24"/>
          <w:szCs w:val="24"/>
          <w:highlight w:val="yellow"/>
        </w:rPr>
        <w:t>指定地点</w:t>
      </w:r>
      <w:r>
        <w:rPr>
          <w:rFonts w:hint="eastAsia" w:ascii="宋体" w:hAnsi="宋体" w:eastAsia="宋体" w:cs="宋体"/>
          <w:sz w:val="24"/>
          <w:szCs w:val="24"/>
          <w:highlight w:val="yellow"/>
          <w:lang w:val="en-US" w:eastAsia="zh-CN"/>
        </w:rPr>
        <w:t>）</w:t>
      </w:r>
      <w:r>
        <w:rPr>
          <w:rFonts w:hint="eastAsia" w:ascii="宋体" w:hAnsi="宋体" w:eastAsia="宋体" w:cs="宋体"/>
          <w:sz w:val="24"/>
          <w:szCs w:val="24"/>
          <w:highlight w:val="yellow"/>
        </w:rPr>
        <w:t>。</w:t>
      </w:r>
    </w:p>
    <w:p>
      <w:pPr>
        <w:keepNext w:val="0"/>
        <w:keepLines w:val="0"/>
        <w:pageBreakBefore w:val="0"/>
        <w:tabs>
          <w:tab w:val="left" w:pos="7020"/>
        </w:tabs>
        <w:kinsoku/>
        <w:wordWrap/>
        <w:overflowPunct/>
        <w:topLinePunct w:val="0"/>
        <w:autoSpaceDE/>
        <w:autoSpaceDN/>
        <w:bidi w:val="0"/>
        <w:spacing w:line="440" w:lineRule="exact"/>
        <w:ind w:left="0" w:firstLine="480" w:firstLineChars="200"/>
        <w:textAlignment w:val="auto"/>
        <w:rPr>
          <w:rFonts w:hint="eastAsia" w:ascii="宋体" w:hAnsi="宋体" w:eastAsia="宋体" w:cs="宋体"/>
          <w:sz w:val="24"/>
          <w:szCs w:val="24"/>
        </w:rPr>
      </w:pPr>
      <w:r>
        <w:rPr>
          <w:rFonts w:hint="eastAsia" w:ascii="宋体" w:hAnsi="宋体" w:eastAsia="宋体" w:cs="宋体"/>
          <w:bCs/>
          <w:sz w:val="24"/>
          <w:szCs w:val="24"/>
          <w:lang w:val="en-US" w:eastAsia="zh-CN"/>
        </w:rPr>
        <w:t>8</w:t>
      </w:r>
      <w:r>
        <w:rPr>
          <w:rFonts w:hint="eastAsia" w:ascii="宋体" w:hAnsi="宋体" w:eastAsia="宋体" w:cs="宋体"/>
          <w:sz w:val="24"/>
          <w:szCs w:val="24"/>
        </w:rPr>
        <w:t>、验收：</w:t>
      </w:r>
    </w:p>
    <w:p>
      <w:pPr>
        <w:keepNext w:val="0"/>
        <w:keepLines w:val="0"/>
        <w:pageBreakBefore w:val="0"/>
        <w:tabs>
          <w:tab w:val="left" w:pos="7020"/>
        </w:tabs>
        <w:kinsoku/>
        <w:wordWrap/>
        <w:overflowPunct/>
        <w:topLinePunct w:val="0"/>
        <w:autoSpaceDE/>
        <w:autoSpaceDN/>
        <w:bidi w:val="0"/>
        <w:spacing w:line="440" w:lineRule="exact"/>
        <w:ind w:left="0" w:firstLine="480" w:firstLineChars="200"/>
        <w:textAlignment w:val="auto"/>
        <w:outlineLvl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采购人和相关部门按照采购文件和响应文件承诺进行验收。采购文件没有规定和响应文件没有相应承诺的，按照下列原则进行验收：有国家标准的按照国家标准验收，没有国家标准的按行业标准验收，无行业标准的按地方或企业标准验收，成交供应商予以配合。涉及需要由质检或行业主管部门验收的项目，采购人须约请相关部门和专家参加项目验收。</w:t>
      </w:r>
    </w:p>
    <w:p>
      <w:pPr>
        <w:keepNext w:val="0"/>
        <w:keepLines w:val="0"/>
        <w:pageBreakBefore w:val="0"/>
        <w:tabs>
          <w:tab w:val="left" w:pos="7020"/>
        </w:tabs>
        <w:kinsoku/>
        <w:wordWrap/>
        <w:overflowPunct/>
        <w:topLinePunct w:val="0"/>
        <w:autoSpaceDE/>
        <w:autoSpaceDN/>
        <w:bidi w:val="0"/>
        <w:spacing w:line="440" w:lineRule="exact"/>
        <w:ind w:left="0" w:firstLine="480" w:firstLineChars="200"/>
        <w:textAlignment w:val="auto"/>
        <w:outlineLvl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8.2货物在验收时，供应商应提供发票、制造厂家出具的产品合格证书、装箱清单等,涉及进口的部件须提供中国海关进口货物报关单、完税证明及商检证明等材料；提供有关货物的保养修理所需的各种随机工具及全部有关技术文件（外文应提供中文翻译资料，下同）、厂商质保承诺、操作使用说明书、质保书、保修证明、维护手册及技术性指导资料以及根据中国相关法律规定制造、销售报价货物（包括主要部件和材料）所必备的各种证书(如产品质量检验报告、国家相关检测机构出具的检验报告等）等文件汇集成册交付采购人和应由成交供应商提供的必要文件。</w:t>
      </w:r>
    </w:p>
    <w:p>
      <w:pPr>
        <w:keepNext w:val="0"/>
        <w:keepLines w:val="0"/>
        <w:pageBreakBefore w:val="0"/>
        <w:tabs>
          <w:tab w:val="left" w:pos="7020"/>
        </w:tabs>
        <w:kinsoku/>
        <w:wordWrap/>
        <w:overflowPunct/>
        <w:topLinePunct w:val="0"/>
        <w:autoSpaceDE/>
        <w:autoSpaceDN/>
        <w:bidi w:val="0"/>
        <w:spacing w:line="440" w:lineRule="exact"/>
        <w:ind w:left="0" w:firstLine="480" w:firstLineChars="200"/>
        <w:textAlignment w:val="auto"/>
        <w:outlineLvl w:val="0"/>
        <w:rPr>
          <w:rFonts w:hint="eastAsia" w:ascii="宋体" w:hAnsi="宋体" w:eastAsia="宋体" w:cs="宋体"/>
          <w:sz w:val="24"/>
          <w:szCs w:val="24"/>
        </w:rPr>
      </w:pPr>
      <w:r>
        <w:rPr>
          <w:rFonts w:hint="eastAsia" w:ascii="宋体" w:hAnsi="宋体" w:eastAsia="宋体" w:cs="宋体"/>
          <w:sz w:val="24"/>
          <w:szCs w:val="24"/>
          <w:lang w:val="en-US" w:eastAsia="zh-CN"/>
        </w:rPr>
        <w:t>8.3成交供应商应向采购人提供安装调试过程中的各种文档资料,以便采购人今后能掌握操作和维护方法。</w:t>
      </w:r>
      <w:r>
        <w:rPr>
          <w:rFonts w:hint="eastAsia" w:ascii="宋体" w:hAnsi="宋体" w:eastAsia="宋体" w:cs="宋体"/>
          <w:sz w:val="24"/>
          <w:szCs w:val="24"/>
        </w:rPr>
        <w:t xml:space="preserve">                                                </w:t>
      </w:r>
    </w:p>
    <w:p>
      <w:pPr>
        <w:keepNext w:val="0"/>
        <w:keepLines w:val="0"/>
        <w:pageBreakBefore w:val="0"/>
        <w:kinsoku/>
        <w:wordWrap/>
        <w:overflowPunct/>
        <w:topLinePunct w:val="0"/>
        <w:autoSpaceDE/>
        <w:autoSpaceDN/>
        <w:bidi w:val="0"/>
        <w:spacing w:line="440" w:lineRule="exact"/>
        <w:ind w:left="0" w:firstLine="480" w:firstLineChars="200"/>
        <w:textAlignment w:val="auto"/>
        <w:outlineLvl w:val="0"/>
        <w:rPr>
          <w:rFonts w:hint="eastAsia" w:ascii="宋体" w:hAnsi="宋体" w:eastAsia="宋体" w:cs="宋体"/>
          <w:sz w:val="24"/>
          <w:szCs w:val="24"/>
          <w:highlight w:val="yellow"/>
        </w:rPr>
      </w:pPr>
      <w:bookmarkStart w:id="0" w:name="_Toc28220"/>
      <w:r>
        <w:rPr>
          <w:rFonts w:hint="eastAsia" w:ascii="宋体" w:hAnsi="宋体" w:eastAsia="宋体" w:cs="宋体"/>
          <w:sz w:val="24"/>
          <w:szCs w:val="24"/>
          <w:highlight w:val="yellow"/>
        </w:rPr>
        <w:t>9、</w:t>
      </w:r>
      <w:bookmarkEnd w:id="0"/>
      <w:r>
        <w:rPr>
          <w:rFonts w:hint="eastAsia" w:ascii="宋体" w:hAnsi="宋体" w:eastAsia="宋体" w:cs="宋体"/>
          <w:sz w:val="24"/>
          <w:szCs w:val="24"/>
          <w:highlight w:val="yellow"/>
        </w:rPr>
        <w:t>付款方式：按货物供应批次进行付款，每批货到验收合格12个月</w:t>
      </w:r>
      <w:r>
        <w:rPr>
          <w:rFonts w:hint="eastAsia" w:ascii="宋体" w:hAnsi="宋体" w:eastAsia="宋体" w:cs="宋体"/>
          <w:sz w:val="24"/>
          <w:szCs w:val="24"/>
          <w:highlight w:val="yellow"/>
          <w:lang w:val="en-US" w:eastAsia="zh-CN"/>
        </w:rPr>
        <w:t>内</w:t>
      </w:r>
      <w:r>
        <w:rPr>
          <w:rFonts w:hint="eastAsia" w:ascii="宋体" w:hAnsi="宋体" w:eastAsia="宋体" w:cs="宋体"/>
          <w:sz w:val="24"/>
          <w:szCs w:val="24"/>
          <w:highlight w:val="yellow"/>
        </w:rPr>
        <w:t>付款。</w:t>
      </w:r>
    </w:p>
    <w:p>
      <w:pPr>
        <w:keepNext w:val="0"/>
        <w:keepLines w:val="0"/>
        <w:pageBreakBefore w:val="0"/>
        <w:numPr>
          <w:ilvl w:val="0"/>
          <w:numId w:val="0"/>
        </w:numPr>
        <w:kinsoku/>
        <w:wordWrap/>
        <w:overflowPunct/>
        <w:topLinePunct w:val="0"/>
        <w:autoSpaceDE/>
        <w:autoSpaceDN/>
        <w:bidi w:val="0"/>
        <w:spacing w:line="440" w:lineRule="exact"/>
        <w:ind w:left="0" w:firstLine="480" w:firstLineChars="200"/>
        <w:textAlignment w:val="auto"/>
        <w:rPr>
          <w:rFonts w:hint="eastAsia" w:ascii="宋体" w:hAnsi="宋体" w:eastAsia="宋体" w:cs="宋体"/>
          <w:b/>
          <w:kern w:val="2"/>
          <w:sz w:val="24"/>
          <w:szCs w:val="24"/>
          <w:highlight w:val="none"/>
          <w:lang w:val="en-US" w:eastAsia="zh-CN" w:bidi="ar-SA"/>
        </w:rPr>
      </w:pPr>
      <w:r>
        <w:rPr>
          <w:rFonts w:hint="eastAsia" w:ascii="宋体" w:hAnsi="宋体" w:eastAsia="宋体" w:cs="宋体"/>
          <w:sz w:val="24"/>
          <w:szCs w:val="24"/>
          <w:lang w:val="en-US" w:eastAsia="zh-CN"/>
        </w:rPr>
        <w:t>10、本项目总报价包含了履行本项目所有内容的全部费用，及所有价内价外税金及合理利润等。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F613F8"/>
    <w:rsid w:val="2A471FEB"/>
    <w:rsid w:val="2FA62F2E"/>
    <w:rsid w:val="4B8F7F3F"/>
    <w:rsid w:val="5D804882"/>
    <w:rsid w:val="60140835"/>
    <w:rsid w:val="70661A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9"/>
    <w:qFormat/>
    <w:uiPriority w:val="0"/>
    <w:pPr>
      <w:keepNext/>
      <w:keepLines/>
      <w:spacing w:before="340" w:after="330" w:line="578" w:lineRule="auto"/>
      <w:jc w:val="center"/>
      <w:outlineLvl w:val="0"/>
    </w:pPr>
    <w:rPr>
      <w:rFonts w:ascii="Times New Roman" w:hAnsi="Times New Roman" w:eastAsia="黑体"/>
      <w:b/>
      <w:bCs/>
      <w:kern w:val="44"/>
      <w:sz w:val="30"/>
      <w:szCs w:val="44"/>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Normal Indent"/>
    <w:basedOn w:val="1"/>
    <w:next w:val="1"/>
    <w:qFormat/>
    <w:uiPriority w:val="0"/>
    <w:pPr>
      <w:ind w:firstLine="420"/>
    </w:pPr>
  </w:style>
  <w:style w:type="paragraph" w:styleId="4">
    <w:name w:val="Body Text"/>
    <w:basedOn w:val="1"/>
    <w:next w:val="1"/>
    <w:qFormat/>
    <w:uiPriority w:val="0"/>
    <w:pPr>
      <w:jc w:val="left"/>
    </w:pPr>
    <w:rPr>
      <w:rFonts w:ascii="Arial" w:hAnsi="Arial" w:eastAsia="黑体" w:cs="黑体"/>
      <w:b/>
      <w:sz w:val="32"/>
      <w:szCs w:val="22"/>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List Paragraph"/>
    <w:basedOn w:val="1"/>
    <w:qFormat/>
    <w:uiPriority w:val="0"/>
    <w:pPr>
      <w:ind w:firstLine="420" w:firstLineChars="200"/>
    </w:pPr>
  </w:style>
  <w:style w:type="character" w:customStyle="1" w:styleId="9">
    <w:name w:val="标题 1 Char"/>
    <w:basedOn w:val="7"/>
    <w:link w:val="2"/>
    <w:qFormat/>
    <w:uiPriority w:val="0"/>
    <w:rPr>
      <w:rFonts w:ascii="Times New Roman" w:hAnsi="Times New Roman" w:eastAsia="黑体"/>
      <w:b/>
      <w:bCs/>
      <w:kern w:val="44"/>
      <w:sz w:val="30"/>
      <w:szCs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929</Words>
  <Characters>1000</Characters>
  <Lines>0</Lines>
  <Paragraphs>0</Paragraphs>
  <TotalTime>59</TotalTime>
  <ScaleCrop>false</ScaleCrop>
  <LinksUpToDate>false</LinksUpToDate>
  <CharactersWithSpaces>1006</CharactersWithSpaces>
  <Application>WPS Office_11.8.2.11739_F1E327BC-269C-435d-A152-05C5408002CA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2024-12-18T06:48:00Z</dcterms:created>
  <dc:creator>Administrator.DESKTOP-IICAK8A</dc:creator>
  <cp:lastModifiedBy>Administrator</cp:lastModifiedBy>
  <dcterms:modified xsi:type="dcterms:W3CDTF">2025-01-10T10:09:01Z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2052-11.8.2.11739</vt:lpwstr>
  </property>
  <property fmtid="{D5CDD505-2E9C-101B-9397-08002B2CF9AE}" pid="3" name="ICV">
    <vt:lpwstr>3A47D51D14574AA195500FC111781311</vt:lpwstr>
  </property>
  <property fmtid="{D5CDD505-2E9C-101B-9397-08002B2CF9AE}" pid="4" name="KSOTemplateDocerSaveRecord">
    <vt:lpwstr>eyJoZGlkIjoiNDM3MTYzMDhhOTc5YTExMzg1YTM0MTdhNjM0ZDllMjgiLCJ1c2VySWQiOiI0MzkxNjI2NzYifQ==</vt:lpwstr>
  </property>
</Properties>
</file>