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02B6B">
      <w:pPr>
        <w:pStyle w:val="4"/>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r>
        <w:rPr>
          <w:rFonts w:hint="eastAsia" w:ascii="黑体" w:hAnsi="黑体" w:eastAsia="黑体" w:cs="黑体"/>
          <w:b w:val="0"/>
          <w:color w:val="000000" w:themeColor="text1"/>
          <w:kern w:val="2"/>
          <w:sz w:val="28"/>
          <w:szCs w:val="28"/>
          <w:highlight w:val="none"/>
          <w:lang w:val="en-US" w:eastAsia="zh-CN" w:bidi="ar-SA"/>
        </w:rPr>
        <w:t>附件1：</w:t>
      </w:r>
    </w:p>
    <w:p w14:paraId="534B11E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14:paraId="01DDCE1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马鞍山市中医院供应室耗材采购项目内容及</w:t>
      </w:r>
    </w:p>
    <w:p w14:paraId="6F7BC41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相关要求</w:t>
      </w:r>
    </w:p>
    <w:p w14:paraId="5A1CCF9B">
      <w:pPr>
        <w:pStyle w:val="8"/>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sz w:val="28"/>
          <w:szCs w:val="28"/>
          <w:lang w:val="en-US" w:eastAsia="zh-CN"/>
        </w:rPr>
      </w:pPr>
      <w:bookmarkStart w:id="1" w:name="_GoBack"/>
      <w:bookmarkEnd w:id="1"/>
    </w:p>
    <w:p w14:paraId="2076157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一、采购预算</w:t>
      </w:r>
    </w:p>
    <w:p w14:paraId="48953096">
      <w:pPr>
        <w:snapToGrid w:val="0"/>
        <w:spacing w:line="440" w:lineRule="exact"/>
        <w:ind w:firstLine="480" w:firstLineChars="200"/>
        <w:rPr>
          <w:rFonts w:hint="eastAsia" w:ascii="宋体" w:hAnsi="宋体" w:eastAsia="宋体" w:cs="宋体"/>
          <w:b w:val="0"/>
          <w:kern w:val="0"/>
          <w:sz w:val="24"/>
          <w:szCs w:val="24"/>
          <w:highlight w:val="yellow"/>
          <w:lang w:val="en-US" w:eastAsia="zh-CN" w:bidi="ar-SA"/>
        </w:rPr>
      </w:pPr>
      <w:r>
        <w:rPr>
          <w:rFonts w:hint="eastAsia" w:ascii="宋体" w:hAnsi="宋体" w:eastAsia="宋体" w:cs="宋体"/>
          <w:b w:val="0"/>
          <w:kern w:val="0"/>
          <w:sz w:val="24"/>
          <w:szCs w:val="24"/>
          <w:lang w:val="en-US" w:eastAsia="zh-CN" w:bidi="ar-SA"/>
        </w:rPr>
        <w:t>项目预算（人民币）：</w:t>
      </w:r>
      <w:r>
        <w:rPr>
          <w:rFonts w:hint="eastAsia" w:ascii="宋体" w:hAnsi="宋体" w:eastAsia="宋体" w:cs="宋体"/>
          <w:b w:val="0"/>
          <w:kern w:val="0"/>
          <w:sz w:val="24"/>
          <w:szCs w:val="24"/>
          <w:highlight w:val="yellow"/>
          <w:lang w:val="en-US" w:eastAsia="zh-CN" w:bidi="ar-SA"/>
        </w:rPr>
        <w:t>177830元/年；最高限价（人民币）：177830元/年，服务期2年（合同履行满1年后，临床反馈使用良好，延长合同有效期1年）。</w:t>
      </w:r>
    </w:p>
    <w:p w14:paraId="1DE8D40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val="0"/>
          <w:bCs w:val="0"/>
          <w:color w:val="000000"/>
          <w:kern w:val="2"/>
          <w:sz w:val="28"/>
          <w:szCs w:val="28"/>
          <w:lang w:val="en-US" w:eastAsia="zh-CN"/>
        </w:rPr>
      </w:pPr>
      <w:r>
        <w:rPr>
          <w:rFonts w:hint="eastAsia" w:ascii="黑体" w:hAnsi="黑体" w:cs="黑体"/>
          <w:b w:val="0"/>
          <w:bCs w:val="0"/>
          <w:color w:val="000000"/>
          <w:kern w:val="2"/>
          <w:sz w:val="28"/>
          <w:szCs w:val="28"/>
          <w:lang w:val="en-US" w:eastAsia="zh-CN"/>
        </w:rPr>
        <w:t>二、投标人</w:t>
      </w:r>
      <w:r>
        <w:rPr>
          <w:rFonts w:hint="eastAsia" w:ascii="黑体" w:hAnsi="黑体" w:eastAsia="黑体" w:cs="黑体"/>
          <w:b w:val="0"/>
          <w:bCs w:val="0"/>
          <w:color w:val="000000"/>
          <w:kern w:val="2"/>
          <w:sz w:val="28"/>
          <w:szCs w:val="28"/>
          <w:lang w:val="en-US" w:eastAsia="zh-CN"/>
        </w:rPr>
        <w:t>资质要求</w:t>
      </w:r>
    </w:p>
    <w:p w14:paraId="040C8193">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1、具备《中华人民共和国政府采购法》第二十二条规定的条件；</w:t>
      </w:r>
    </w:p>
    <w:p w14:paraId="68F69F65">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2、本项目不接受联合体招标；</w:t>
      </w:r>
    </w:p>
    <w:p w14:paraId="21E07585">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3、本项目投标人特定资格要求：</w:t>
      </w:r>
    </w:p>
    <w:p w14:paraId="589CED4A">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 xml:space="preserve">（1）投标人若为生产企业：所投产品为第二、三类医疗器械的，提供涵盖所投医疗器械的《医疗器械生产许可证》； </w:t>
      </w:r>
    </w:p>
    <w:p w14:paraId="1AA0174E">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（2）投标人若为经营企业：所投产品为第二类医疗器械的，提供涵盖所投医疗器械的《医疗器械经营备案凭证》；所投产品为第三类医疗器械的，提供涵盖所投医疗器械的《医疗器械经营许可证》。</w:t>
      </w:r>
    </w:p>
    <w:p w14:paraId="0D79B11A">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3、已获取招标文件（招标文件获取方式：现场或电话报名时，提供投标人邮箱，市中医院招标办按邮箱地址发送项目采购招标文件）；</w:t>
      </w:r>
    </w:p>
    <w:p w14:paraId="2123EF02">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4、投标人须符合下列情形之一（不良行为记录以《马鞍山市公共资源交易主体不良行为信息处理暂行办法》（马公管〔2016〕35号）为准）：</w:t>
      </w:r>
    </w:p>
    <w:p w14:paraId="0EA46E76">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（1）开标日前两年内未被马鞍山市、县公共资源交易监督管理部门记不良行为记录或记不良行为记录累计未满5分的。</w:t>
      </w:r>
    </w:p>
    <w:p w14:paraId="62EB18EF">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（2）最近一次被马鞍山市、县公共资源交易监督管理部门记不良行为记录累计记分达5分到9分(含9分)且公布日距日超过3个月。</w:t>
      </w:r>
    </w:p>
    <w:p w14:paraId="14FB5902">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（3）最近一次被马鞍山市、县公共资源交易监督管理部门记不良行为记录累计记分达10分到19分(含19分)且公布日距开标日超过6个月。</w:t>
      </w:r>
    </w:p>
    <w:p w14:paraId="2AD4BADE">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（4）最近一次被马鞍山市、县公共资源交易监督管理部门记不良行为记录累计记分达20分到29分(含29分)且公布日距开标日超过12个月。</w:t>
      </w:r>
    </w:p>
    <w:p w14:paraId="7C7BA5F2">
      <w:pPr>
        <w:snapToGrid w:val="0"/>
        <w:spacing w:line="440" w:lineRule="exact"/>
        <w:ind w:firstLine="480" w:firstLineChars="200"/>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（5）最近一次被马鞍山市、县公共资源交易监督管理部门记不良行为记录累计记分30分以上(含30分)且公布日距开标日超过24个月。</w:t>
      </w:r>
    </w:p>
    <w:p w14:paraId="24832D64">
      <w:pPr>
        <w:snapToGrid w:val="0"/>
        <w:spacing w:line="440" w:lineRule="exact"/>
        <w:ind w:firstLine="560" w:firstLineChars="20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三、采购内容及相关要求</w:t>
      </w:r>
    </w:p>
    <w:p w14:paraId="2FDC2D15">
      <w:pPr>
        <w:tabs>
          <w:tab w:val="left" w:pos="7020"/>
        </w:tabs>
        <w:spacing w:line="440" w:lineRule="exact"/>
        <w:jc w:val="center"/>
        <w:rPr>
          <w:rFonts w:hint="eastAsia" w:ascii="宋体" w:hAnsi="宋体" w:eastAsia="宋体"/>
          <w:b/>
          <w:sz w:val="28"/>
          <w:szCs w:val="28"/>
          <w:lang w:val="en-US" w:eastAsia="zh-CN"/>
        </w:rPr>
      </w:pPr>
      <w:r>
        <w:rPr>
          <w:rFonts w:hint="eastAsia" w:ascii="宋体" w:hAnsi="宋体"/>
          <w:b/>
          <w:sz w:val="28"/>
          <w:szCs w:val="28"/>
        </w:rPr>
        <w:t>（一）采购清单</w:t>
      </w:r>
      <w:r>
        <w:rPr>
          <w:rFonts w:hint="eastAsia" w:ascii="宋体" w:hAnsi="宋体"/>
          <w:b/>
          <w:sz w:val="28"/>
          <w:szCs w:val="28"/>
          <w:lang w:val="en-US" w:eastAsia="zh-CN"/>
        </w:rPr>
        <w:t>及技术要求</w:t>
      </w:r>
    </w:p>
    <w:tbl>
      <w:tblPr>
        <w:tblStyle w:val="14"/>
        <w:tblpPr w:leftFromText="180" w:rightFromText="180" w:vertAnchor="text" w:horzAnchor="page" w:tblpX="805" w:tblpY="502"/>
        <w:tblOverlap w:val="never"/>
        <w:tblW w:w="9054" w:type="dxa"/>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82"/>
        <w:gridCol w:w="1137"/>
        <w:gridCol w:w="500"/>
        <w:gridCol w:w="938"/>
        <w:gridCol w:w="850"/>
        <w:gridCol w:w="850"/>
        <w:gridCol w:w="3055"/>
      </w:tblGrid>
      <w:tr w14:paraId="3873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78CDF36F">
            <w:pPr>
              <w:spacing w:line="460" w:lineRule="exact"/>
              <w:jc w:val="center"/>
              <w:rPr>
                <w:rFonts w:ascii="黑体" w:hAnsi="黑体" w:eastAsia="黑体" w:cs="黑体"/>
                <w:b/>
                <w:bCs/>
                <w:sz w:val="24"/>
              </w:rPr>
            </w:pPr>
            <w:r>
              <w:rPr>
                <w:rFonts w:hint="eastAsia" w:ascii="黑体" w:hAnsi="黑体" w:eastAsia="黑体" w:cs="黑体"/>
                <w:b/>
                <w:bCs/>
                <w:sz w:val="24"/>
              </w:rPr>
              <w:t>序号</w:t>
            </w:r>
          </w:p>
        </w:tc>
        <w:tc>
          <w:tcPr>
            <w:tcW w:w="1182" w:type="dxa"/>
            <w:noWrap/>
            <w:vAlign w:val="center"/>
          </w:tcPr>
          <w:p w14:paraId="5807ABD1">
            <w:pPr>
              <w:spacing w:line="460" w:lineRule="exact"/>
              <w:jc w:val="center"/>
              <w:rPr>
                <w:rFonts w:ascii="黑体" w:hAnsi="黑体" w:eastAsia="黑体" w:cs="黑体"/>
                <w:b/>
                <w:bCs/>
                <w:sz w:val="24"/>
              </w:rPr>
            </w:pPr>
            <w:r>
              <w:rPr>
                <w:rFonts w:hint="eastAsia" w:ascii="黑体" w:hAnsi="黑体" w:eastAsia="黑体" w:cs="黑体"/>
                <w:b/>
                <w:bCs/>
                <w:sz w:val="24"/>
                <w:lang w:val="en-US" w:eastAsia="zh-CN"/>
              </w:rPr>
              <w:t>货物</w:t>
            </w:r>
            <w:r>
              <w:rPr>
                <w:rFonts w:hint="eastAsia" w:ascii="黑体" w:hAnsi="黑体" w:eastAsia="黑体" w:cs="黑体"/>
                <w:b/>
                <w:bCs/>
                <w:sz w:val="24"/>
              </w:rPr>
              <w:t>名称</w:t>
            </w:r>
          </w:p>
        </w:tc>
        <w:tc>
          <w:tcPr>
            <w:tcW w:w="1137" w:type="dxa"/>
            <w:noWrap/>
            <w:vAlign w:val="center"/>
          </w:tcPr>
          <w:p w14:paraId="55C27310">
            <w:pPr>
              <w:spacing w:line="460" w:lineRule="exact"/>
              <w:jc w:val="center"/>
              <w:rPr>
                <w:rFonts w:ascii="黑体" w:hAnsi="黑体" w:eastAsia="黑体" w:cs="黑体"/>
                <w:b/>
                <w:bCs/>
                <w:sz w:val="24"/>
              </w:rPr>
            </w:pPr>
            <w:r>
              <w:rPr>
                <w:rFonts w:hint="eastAsia" w:ascii="黑体" w:hAnsi="黑体" w:eastAsia="黑体" w:cs="黑体"/>
                <w:b/>
                <w:bCs/>
                <w:sz w:val="24"/>
              </w:rPr>
              <w:t>规格</w:t>
            </w:r>
          </w:p>
        </w:tc>
        <w:tc>
          <w:tcPr>
            <w:tcW w:w="500" w:type="dxa"/>
            <w:noWrap/>
            <w:vAlign w:val="center"/>
          </w:tcPr>
          <w:p w14:paraId="0DE5C4D5">
            <w:pPr>
              <w:spacing w:line="460" w:lineRule="exact"/>
              <w:jc w:val="center"/>
              <w:rPr>
                <w:rFonts w:ascii="黑体" w:hAnsi="黑体" w:eastAsia="黑体" w:cs="黑体"/>
                <w:b/>
                <w:bCs/>
                <w:sz w:val="24"/>
              </w:rPr>
            </w:pPr>
            <w:r>
              <w:rPr>
                <w:rFonts w:hint="eastAsia" w:ascii="黑体" w:hAnsi="黑体" w:eastAsia="黑体" w:cs="黑体"/>
                <w:b/>
                <w:bCs/>
                <w:sz w:val="24"/>
              </w:rPr>
              <w:t>单位</w:t>
            </w:r>
          </w:p>
        </w:tc>
        <w:tc>
          <w:tcPr>
            <w:tcW w:w="938" w:type="dxa"/>
            <w:noWrap/>
            <w:vAlign w:val="center"/>
          </w:tcPr>
          <w:p w14:paraId="2D991681">
            <w:pPr>
              <w:spacing w:line="460" w:lineRule="exact"/>
              <w:jc w:val="center"/>
              <w:rPr>
                <w:rFonts w:ascii="黑体" w:hAnsi="黑体" w:eastAsia="黑体" w:cs="黑体"/>
                <w:b/>
                <w:bCs/>
                <w:sz w:val="24"/>
              </w:rPr>
            </w:pPr>
            <w:r>
              <w:rPr>
                <w:rFonts w:hint="eastAsia" w:ascii="黑体" w:hAnsi="黑体" w:eastAsia="黑体" w:cs="黑体"/>
                <w:b/>
                <w:bCs/>
                <w:sz w:val="24"/>
                <w:highlight w:val="green"/>
                <w:lang w:val="en-US" w:eastAsia="zh-CN"/>
              </w:rPr>
              <w:t>参考</w:t>
            </w:r>
            <w:r>
              <w:rPr>
                <w:rFonts w:hint="eastAsia" w:ascii="黑体" w:hAnsi="黑体" w:eastAsia="黑体" w:cs="黑体"/>
                <w:b/>
                <w:bCs/>
                <w:sz w:val="24"/>
                <w:highlight w:val="green"/>
              </w:rPr>
              <w:t>单价（元）</w:t>
            </w:r>
          </w:p>
        </w:tc>
        <w:tc>
          <w:tcPr>
            <w:tcW w:w="850" w:type="dxa"/>
            <w:noWrap/>
            <w:vAlign w:val="center"/>
          </w:tcPr>
          <w:p w14:paraId="44529893">
            <w:pPr>
              <w:spacing w:line="460" w:lineRule="exact"/>
              <w:jc w:val="center"/>
              <w:rPr>
                <w:rFonts w:ascii="黑体" w:hAnsi="黑体" w:eastAsia="黑体" w:cs="黑体"/>
                <w:b/>
                <w:bCs/>
                <w:sz w:val="24"/>
              </w:rPr>
            </w:pPr>
            <w:r>
              <w:rPr>
                <w:rFonts w:hint="eastAsia" w:ascii="黑体" w:hAnsi="黑体" w:eastAsia="黑体" w:cs="黑体"/>
                <w:b/>
                <w:bCs/>
                <w:sz w:val="24"/>
              </w:rPr>
              <w:t>数量</w:t>
            </w:r>
          </w:p>
        </w:tc>
        <w:tc>
          <w:tcPr>
            <w:tcW w:w="850" w:type="dxa"/>
            <w:noWrap/>
            <w:vAlign w:val="center"/>
          </w:tcPr>
          <w:p w14:paraId="2C94F347">
            <w:pPr>
              <w:spacing w:line="460" w:lineRule="exact"/>
              <w:jc w:val="center"/>
              <w:rPr>
                <w:rFonts w:ascii="黑体" w:hAnsi="黑体" w:eastAsia="黑体" w:cs="黑体"/>
                <w:b/>
                <w:bCs/>
                <w:sz w:val="24"/>
              </w:rPr>
            </w:pPr>
            <w:r>
              <w:rPr>
                <w:rFonts w:hint="eastAsia" w:ascii="黑体" w:hAnsi="黑体" w:eastAsia="黑体" w:cs="黑体"/>
                <w:b/>
                <w:bCs/>
                <w:sz w:val="24"/>
              </w:rPr>
              <w:t>预算金额（元）</w:t>
            </w:r>
          </w:p>
        </w:tc>
        <w:tc>
          <w:tcPr>
            <w:tcW w:w="3055" w:type="dxa"/>
            <w:noWrap/>
            <w:vAlign w:val="center"/>
          </w:tcPr>
          <w:p w14:paraId="6D2FD1A7">
            <w:pPr>
              <w:keepNext w:val="0"/>
              <w:keepLines w:val="0"/>
              <w:pageBreakBefore w:val="0"/>
              <w:widowControl w:val="0"/>
              <w:tabs>
                <w:tab w:val="left" w:pos="830"/>
                <w:tab w:val="center" w:pos="1478"/>
              </w:tabs>
              <w:kinsoku/>
              <w:wordWrap/>
              <w:overflowPunct/>
              <w:topLinePunct w:val="0"/>
              <w:autoSpaceDE/>
              <w:autoSpaceDN/>
              <w:bidi w:val="0"/>
              <w:adjustRightInd/>
              <w:snapToGrid/>
              <w:spacing w:line="240" w:lineRule="auto"/>
              <w:jc w:val="left"/>
              <w:textAlignment w:val="auto"/>
              <w:rPr>
                <w:rFonts w:hint="eastAsia" w:ascii="黑体" w:hAnsi="黑体" w:eastAsia="黑体" w:cs="黑体"/>
                <w:b/>
                <w:bCs/>
                <w:sz w:val="24"/>
                <w:lang w:val="en-US" w:eastAsia="zh-CN"/>
              </w:rPr>
            </w:pPr>
            <w:r>
              <w:rPr>
                <w:rFonts w:hint="eastAsia" w:ascii="黑体" w:hAnsi="黑体" w:eastAsia="黑体" w:cs="黑体"/>
                <w:b/>
                <w:bCs/>
                <w:sz w:val="24"/>
                <w:lang w:val="en-US" w:eastAsia="zh-CN"/>
              </w:rPr>
              <w:tab/>
            </w:r>
            <w:r>
              <w:rPr>
                <w:rFonts w:hint="eastAsia" w:ascii="黑体" w:hAnsi="黑体" w:eastAsia="黑体" w:cs="黑体"/>
                <w:b/>
                <w:bCs/>
                <w:sz w:val="24"/>
                <w:lang w:val="en-US" w:eastAsia="zh-CN"/>
              </w:rPr>
              <w:tab/>
            </w:r>
            <w:r>
              <w:rPr>
                <w:rFonts w:hint="eastAsia" w:ascii="黑体" w:hAnsi="黑体" w:eastAsia="黑体" w:cs="黑体"/>
                <w:b/>
                <w:bCs/>
                <w:sz w:val="24"/>
                <w:lang w:val="en-US" w:eastAsia="zh-CN"/>
              </w:rPr>
              <w:t>技术要求</w:t>
            </w:r>
          </w:p>
        </w:tc>
      </w:tr>
      <w:tr w14:paraId="24F0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9419ECB">
            <w:pPr>
              <w:jc w:val="center"/>
              <w:rPr>
                <w:rFonts w:ascii="黑体" w:hAnsi="黑体" w:eastAsia="黑体" w:cs="黑体"/>
                <w:sz w:val="21"/>
                <w:szCs w:val="21"/>
                <w:highlight w:val="none"/>
              </w:rPr>
            </w:pPr>
            <w:r>
              <w:rPr>
                <w:rFonts w:hint="eastAsia" w:ascii="黑体" w:hAnsi="黑体" w:eastAsia="黑体" w:cs="黑体"/>
                <w:sz w:val="21"/>
                <w:szCs w:val="21"/>
                <w:highlight w:val="none"/>
              </w:rPr>
              <w:t>1</w:t>
            </w:r>
          </w:p>
        </w:tc>
        <w:tc>
          <w:tcPr>
            <w:tcW w:w="1182" w:type="dxa"/>
            <w:noWrap/>
            <w:vAlign w:val="center"/>
          </w:tcPr>
          <w:p w14:paraId="03C737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压力蒸汽灭菌包内化学指示卡</w:t>
            </w:r>
          </w:p>
        </w:tc>
        <w:tc>
          <w:tcPr>
            <w:tcW w:w="1137" w:type="dxa"/>
            <w:noWrap/>
            <w:vAlign w:val="center"/>
          </w:tcPr>
          <w:p w14:paraId="7146D7E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500" w:type="dxa"/>
            <w:noWrap/>
            <w:vAlign w:val="center"/>
          </w:tcPr>
          <w:p w14:paraId="3835C6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11C6712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850" w:type="dxa"/>
            <w:noWrap/>
            <w:vAlign w:val="center"/>
          </w:tcPr>
          <w:p w14:paraId="6422982E">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31600</w:t>
            </w:r>
          </w:p>
        </w:tc>
        <w:tc>
          <w:tcPr>
            <w:tcW w:w="850" w:type="dxa"/>
            <w:noWrap/>
            <w:vAlign w:val="center"/>
          </w:tcPr>
          <w:p w14:paraId="196FE814">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15800</w:t>
            </w:r>
          </w:p>
        </w:tc>
        <w:tc>
          <w:tcPr>
            <w:tcW w:w="3055" w:type="dxa"/>
            <w:noWrap/>
            <w:vAlign w:val="center"/>
          </w:tcPr>
          <w:p w14:paraId="503936F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highlight w:val="none"/>
                <w:lang w:eastAsia="zh-CN"/>
              </w:rPr>
            </w:pPr>
            <w:r>
              <w:rPr>
                <w:rFonts w:hint="eastAsia"/>
                <w:color w:val="auto"/>
                <w:highlight w:val="none"/>
              </w:rPr>
              <w:t>1.产品检验标准符合压力蒸汽灭菌第四类化学指示物的要求，有相应的卫生安全评价报告</w:t>
            </w:r>
            <w:r>
              <w:rPr>
                <w:rFonts w:hint="eastAsia"/>
                <w:color w:val="auto"/>
                <w:highlight w:val="none"/>
                <w:lang w:eastAsia="zh-CN"/>
              </w:rPr>
              <w:t>。</w:t>
            </w:r>
          </w:p>
          <w:p w14:paraId="4615966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highlight w:val="none"/>
                <w:lang w:eastAsia="zh-CN"/>
              </w:rPr>
            </w:pPr>
            <w:r>
              <w:rPr>
                <w:rFonts w:hint="eastAsia" w:ascii="宋体" w:hAnsi="宋体" w:eastAsia="宋体" w:cs="宋体"/>
                <w:color w:val="auto"/>
                <w:sz w:val="24"/>
                <w:szCs w:val="24"/>
                <w:highlight w:val="none"/>
              </w:rPr>
              <w:t>■</w:t>
            </w:r>
            <w:r>
              <w:rPr>
                <w:rFonts w:hint="eastAsia"/>
                <w:color w:val="auto"/>
                <w:highlight w:val="none"/>
              </w:rPr>
              <w:t>2.产品应用于134℃，4min的压力蒸汽灭菌包内化学监测，符合灭菌参数的要求</w:t>
            </w:r>
            <w:r>
              <w:rPr>
                <w:rFonts w:hint="eastAsia"/>
                <w:color w:val="auto"/>
                <w:highlight w:val="none"/>
                <w:lang w:eastAsia="zh-CN"/>
              </w:rPr>
              <w:t>。</w:t>
            </w:r>
          </w:p>
          <w:p w14:paraId="5D2DAE0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highlight w:val="none"/>
                <w:lang w:eastAsia="zh-CN"/>
              </w:rPr>
            </w:pPr>
            <w:r>
              <w:rPr>
                <w:rFonts w:hint="eastAsia"/>
                <w:color w:val="auto"/>
                <w:highlight w:val="none"/>
              </w:rPr>
              <w:t>3.产品双面覆膜，且灭菌后膜无损坏、不脱落</w:t>
            </w:r>
            <w:r>
              <w:rPr>
                <w:rFonts w:hint="eastAsia"/>
                <w:color w:val="auto"/>
                <w:highlight w:val="none"/>
                <w:lang w:eastAsia="zh-CN"/>
              </w:rPr>
              <w:t>。</w:t>
            </w:r>
          </w:p>
          <w:p w14:paraId="5292894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eastAsia="宋体"/>
                <w:color w:val="auto"/>
                <w:highlight w:val="none"/>
                <w:lang w:eastAsia="zh-CN"/>
              </w:rPr>
            </w:pPr>
            <w:r>
              <w:rPr>
                <w:rFonts w:hint="eastAsia"/>
                <w:color w:val="auto"/>
                <w:highlight w:val="none"/>
              </w:rPr>
              <w:t>4.产品所印刷指示油墨为无铅化学指示油墨（备案配方可佐证）</w:t>
            </w:r>
            <w:r>
              <w:rPr>
                <w:rFonts w:hint="eastAsia"/>
                <w:color w:val="auto"/>
                <w:highlight w:val="none"/>
                <w:lang w:eastAsia="zh-CN"/>
              </w:rPr>
              <w:t>。</w:t>
            </w:r>
          </w:p>
          <w:p w14:paraId="5D8E9D3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5</w:t>
            </w:r>
            <w:r>
              <w:rPr>
                <w:rFonts w:hint="eastAsia"/>
                <w:color w:val="auto"/>
                <w:highlight w:val="none"/>
              </w:rPr>
              <w:t>.生产企业通过ISO质量体系认证</w:t>
            </w:r>
            <w:r>
              <w:rPr>
                <w:rFonts w:hint="eastAsia"/>
                <w:color w:val="auto"/>
                <w:highlight w:val="none"/>
                <w:lang w:eastAsia="zh-CN"/>
              </w:rPr>
              <w:t>。</w:t>
            </w:r>
          </w:p>
        </w:tc>
      </w:tr>
      <w:tr w14:paraId="6D20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2" w:type="dxa"/>
            <w:noWrap/>
            <w:vAlign w:val="center"/>
          </w:tcPr>
          <w:p w14:paraId="32093B7C">
            <w:pPr>
              <w:jc w:val="center"/>
              <w:rPr>
                <w:rFonts w:ascii="黑体" w:hAnsi="黑体" w:eastAsia="黑体" w:cs="黑体"/>
                <w:sz w:val="21"/>
                <w:szCs w:val="21"/>
                <w:highlight w:val="none"/>
              </w:rPr>
            </w:pPr>
            <w:r>
              <w:rPr>
                <w:rFonts w:hint="eastAsia" w:ascii="黑体" w:hAnsi="黑体" w:eastAsia="黑体" w:cs="黑体"/>
                <w:sz w:val="21"/>
                <w:szCs w:val="21"/>
                <w:highlight w:val="none"/>
              </w:rPr>
              <w:t>2</w:t>
            </w:r>
          </w:p>
        </w:tc>
        <w:tc>
          <w:tcPr>
            <w:tcW w:w="1182" w:type="dxa"/>
            <w:noWrap/>
            <w:vAlign w:val="center"/>
          </w:tcPr>
          <w:p w14:paraId="2E7122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压力蒸汽灭菌爬行式化学指示卡</w:t>
            </w:r>
          </w:p>
        </w:tc>
        <w:tc>
          <w:tcPr>
            <w:tcW w:w="1137" w:type="dxa"/>
            <w:noWrap/>
            <w:vAlign w:val="center"/>
          </w:tcPr>
          <w:p w14:paraId="6894CDB4">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700B79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3374800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50" w:type="dxa"/>
            <w:noWrap/>
            <w:vAlign w:val="center"/>
          </w:tcPr>
          <w:p w14:paraId="00EAFE71">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700</w:t>
            </w:r>
          </w:p>
        </w:tc>
        <w:tc>
          <w:tcPr>
            <w:tcW w:w="850" w:type="dxa"/>
            <w:noWrap/>
            <w:vAlign w:val="center"/>
          </w:tcPr>
          <w:p w14:paraId="4808FC81">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980</w:t>
            </w:r>
          </w:p>
        </w:tc>
        <w:tc>
          <w:tcPr>
            <w:tcW w:w="3055" w:type="dxa"/>
            <w:noWrap/>
            <w:vAlign w:val="center"/>
          </w:tcPr>
          <w:p w14:paraId="521379F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1.产品检验标准符合压力蒸汽灭菌第五类化学指示物的要求，有相应的卫生安全评价报告</w:t>
            </w:r>
            <w:r>
              <w:rPr>
                <w:rFonts w:hint="eastAsia" w:ascii="宋体" w:hAnsi="宋体" w:eastAsia="宋体" w:cs="宋体"/>
                <w:color w:val="auto"/>
                <w:szCs w:val="21"/>
                <w:highlight w:val="none"/>
                <w:lang w:eastAsia="zh-CN"/>
              </w:rPr>
              <w:t>。</w:t>
            </w:r>
          </w:p>
          <w:p w14:paraId="4F5BB91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2.产品应用于121℃-135℃压力蒸汽灭菌包内化学监测</w:t>
            </w:r>
            <w:r>
              <w:rPr>
                <w:rFonts w:hint="eastAsia" w:ascii="宋体" w:hAnsi="宋体" w:eastAsia="宋体" w:cs="宋体"/>
                <w:color w:val="auto"/>
                <w:szCs w:val="21"/>
                <w:highlight w:val="none"/>
                <w:lang w:eastAsia="zh-CN"/>
              </w:rPr>
              <w:t>。</w:t>
            </w:r>
          </w:p>
          <w:p w14:paraId="0AA69A0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3.产品所用药片不含铅，通过内部黑色指示物爬行距离监测压力蒸汽灭菌效果</w:t>
            </w:r>
            <w:r>
              <w:rPr>
                <w:rFonts w:hint="eastAsia" w:ascii="宋体" w:hAnsi="宋体" w:eastAsia="宋体" w:cs="宋体"/>
                <w:color w:val="auto"/>
                <w:szCs w:val="21"/>
                <w:highlight w:val="none"/>
                <w:lang w:eastAsia="zh-CN"/>
              </w:rPr>
              <w:t>。</w:t>
            </w:r>
          </w:p>
          <w:p w14:paraId="5ABD4D7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.生产企业通过ISO质量体系认证</w:t>
            </w:r>
            <w:r>
              <w:rPr>
                <w:rFonts w:hint="eastAsia" w:ascii="宋体" w:hAnsi="宋体" w:eastAsia="宋体" w:cs="宋体"/>
                <w:color w:val="auto"/>
                <w:szCs w:val="21"/>
                <w:highlight w:val="none"/>
                <w:lang w:eastAsia="zh-CN"/>
              </w:rPr>
              <w:t>。</w:t>
            </w:r>
          </w:p>
        </w:tc>
      </w:tr>
      <w:tr w14:paraId="2887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BEE4CF7">
            <w:pPr>
              <w:jc w:val="center"/>
              <w:rPr>
                <w:rFonts w:ascii="黑体" w:hAnsi="黑体" w:eastAsia="黑体" w:cs="黑体"/>
                <w:sz w:val="21"/>
                <w:szCs w:val="21"/>
                <w:highlight w:val="none"/>
              </w:rPr>
            </w:pPr>
            <w:r>
              <w:rPr>
                <w:rFonts w:hint="eastAsia" w:ascii="黑体" w:hAnsi="黑体" w:eastAsia="黑体" w:cs="黑体"/>
                <w:sz w:val="21"/>
                <w:szCs w:val="21"/>
                <w:highlight w:val="none"/>
              </w:rPr>
              <w:t>3</w:t>
            </w:r>
          </w:p>
        </w:tc>
        <w:tc>
          <w:tcPr>
            <w:tcW w:w="1182" w:type="dxa"/>
            <w:noWrap/>
            <w:vAlign w:val="center"/>
          </w:tcPr>
          <w:p w14:paraId="6B7F31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压力蒸汽灭菌化学测试包</w:t>
            </w:r>
          </w:p>
        </w:tc>
        <w:tc>
          <w:tcPr>
            <w:tcW w:w="1137" w:type="dxa"/>
            <w:noWrap/>
            <w:vAlign w:val="center"/>
          </w:tcPr>
          <w:p w14:paraId="6CEA8DF7">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7343DB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38" w:type="dxa"/>
            <w:noWrap/>
            <w:vAlign w:val="center"/>
          </w:tcPr>
          <w:p w14:paraId="2B65724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850" w:type="dxa"/>
            <w:noWrap/>
            <w:vAlign w:val="center"/>
          </w:tcPr>
          <w:p w14:paraId="0D37AD46">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960</w:t>
            </w:r>
          </w:p>
        </w:tc>
        <w:tc>
          <w:tcPr>
            <w:tcW w:w="850" w:type="dxa"/>
            <w:noWrap/>
            <w:vAlign w:val="center"/>
          </w:tcPr>
          <w:p w14:paraId="3AF3C008">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33600</w:t>
            </w:r>
          </w:p>
        </w:tc>
        <w:tc>
          <w:tcPr>
            <w:tcW w:w="3055" w:type="dxa"/>
            <w:noWrap/>
            <w:vAlign w:val="center"/>
          </w:tcPr>
          <w:p w14:paraId="3566249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1.产品有卫生安全评价报告</w:t>
            </w:r>
            <w:r>
              <w:rPr>
                <w:rFonts w:hint="eastAsia" w:ascii="宋体" w:hAnsi="宋体" w:eastAsia="宋体" w:cs="宋体"/>
                <w:color w:val="auto"/>
                <w:szCs w:val="21"/>
                <w:highlight w:val="none"/>
                <w:lang w:eastAsia="zh-CN"/>
              </w:rPr>
              <w:t>。</w:t>
            </w:r>
          </w:p>
          <w:p w14:paraId="0BED72B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2.产品应用于预真空压力蒸汽灭菌器灭菌效果的批量监测</w:t>
            </w:r>
            <w:r>
              <w:rPr>
                <w:rFonts w:hint="eastAsia" w:ascii="宋体" w:hAnsi="宋体" w:eastAsia="宋体" w:cs="宋体"/>
                <w:color w:val="auto"/>
                <w:szCs w:val="21"/>
                <w:highlight w:val="none"/>
                <w:lang w:eastAsia="zh-CN"/>
              </w:rPr>
              <w:t>。</w:t>
            </w:r>
          </w:p>
          <w:p w14:paraId="6795B8E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3.可视化设计，压力蒸汽灭菌后可直接观察灭菌效果</w:t>
            </w:r>
            <w:r>
              <w:rPr>
                <w:rFonts w:hint="eastAsia" w:ascii="宋体" w:hAnsi="宋体" w:eastAsia="宋体" w:cs="宋体"/>
                <w:color w:val="auto"/>
                <w:szCs w:val="21"/>
                <w:highlight w:val="none"/>
                <w:lang w:eastAsia="zh-CN"/>
              </w:rPr>
              <w:t>。</w:t>
            </w:r>
          </w:p>
          <w:p w14:paraId="13D6655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4.包内爬行卡背面粘贴有双面胶，方便粘贴记录</w:t>
            </w:r>
            <w:r>
              <w:rPr>
                <w:rFonts w:hint="eastAsia" w:ascii="宋体" w:hAnsi="宋体" w:eastAsia="宋体" w:cs="宋体"/>
                <w:color w:val="auto"/>
                <w:szCs w:val="21"/>
                <w:highlight w:val="none"/>
                <w:lang w:eastAsia="zh-CN"/>
              </w:rPr>
              <w:t>。</w:t>
            </w:r>
          </w:p>
          <w:p w14:paraId="5C9F9F0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5.包内爬行卡所用药片不含铅，通过卡内黑色指示物爬行距离监测压力蒸汽灭菌效果</w:t>
            </w:r>
            <w:r>
              <w:rPr>
                <w:rFonts w:hint="eastAsia" w:ascii="宋体" w:hAnsi="宋体" w:eastAsia="宋体" w:cs="宋体"/>
                <w:color w:val="auto"/>
                <w:szCs w:val="21"/>
                <w:highlight w:val="none"/>
                <w:lang w:eastAsia="zh-CN"/>
              </w:rPr>
              <w:t>。</w:t>
            </w:r>
          </w:p>
          <w:p w14:paraId="0AAC061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6</w:t>
            </w:r>
            <w:r>
              <w:rPr>
                <w:rFonts w:ascii="宋体" w:hAnsi="宋体" w:eastAsia="宋体" w:cs="宋体"/>
                <w:color w:val="auto"/>
                <w:szCs w:val="21"/>
                <w:highlight w:val="none"/>
              </w:rPr>
              <w:t>.生产企业通过ISO质量体系认证</w:t>
            </w:r>
            <w:r>
              <w:rPr>
                <w:rFonts w:hint="eastAsia" w:ascii="宋体" w:hAnsi="宋体" w:eastAsia="宋体" w:cs="宋体"/>
                <w:color w:val="auto"/>
                <w:szCs w:val="21"/>
                <w:highlight w:val="none"/>
                <w:lang w:eastAsia="zh-CN"/>
              </w:rPr>
              <w:t>。</w:t>
            </w:r>
          </w:p>
        </w:tc>
      </w:tr>
      <w:tr w14:paraId="51E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C1583D0">
            <w:pPr>
              <w:jc w:val="center"/>
              <w:rPr>
                <w:rFonts w:ascii="黑体" w:hAnsi="黑体" w:eastAsia="黑体" w:cs="黑体"/>
                <w:sz w:val="21"/>
                <w:szCs w:val="21"/>
                <w:highlight w:val="none"/>
              </w:rPr>
            </w:pPr>
            <w:r>
              <w:rPr>
                <w:rFonts w:hint="eastAsia" w:ascii="黑体" w:hAnsi="黑体" w:eastAsia="黑体" w:cs="黑体"/>
                <w:sz w:val="21"/>
                <w:szCs w:val="21"/>
                <w:highlight w:val="none"/>
              </w:rPr>
              <w:t>4</w:t>
            </w:r>
          </w:p>
        </w:tc>
        <w:tc>
          <w:tcPr>
            <w:tcW w:w="1182" w:type="dxa"/>
            <w:noWrap/>
            <w:vAlign w:val="center"/>
          </w:tcPr>
          <w:p w14:paraId="3BF76F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压力蒸汽灭菌化学指示胶粘带</w:t>
            </w:r>
          </w:p>
        </w:tc>
        <w:tc>
          <w:tcPr>
            <w:tcW w:w="1137" w:type="dxa"/>
            <w:noWrap/>
            <w:vAlign w:val="center"/>
          </w:tcPr>
          <w:p w14:paraId="541B35C6">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1D63BB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3E32494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850" w:type="dxa"/>
            <w:noWrap/>
            <w:vAlign w:val="center"/>
          </w:tcPr>
          <w:p w14:paraId="4BA944EA">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50" w:type="dxa"/>
            <w:noWrap/>
            <w:vAlign w:val="center"/>
          </w:tcPr>
          <w:p w14:paraId="24708E86">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600</w:t>
            </w:r>
          </w:p>
        </w:tc>
        <w:tc>
          <w:tcPr>
            <w:tcW w:w="3055" w:type="dxa"/>
            <w:noWrap/>
            <w:vAlign w:val="center"/>
          </w:tcPr>
          <w:p w14:paraId="6D664E3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w:t>
            </w:r>
            <w:r>
              <w:rPr>
                <w:rFonts w:hint="eastAsia" w:ascii="宋体" w:hAnsi="宋体" w:cs="宋体"/>
                <w:color w:val="auto"/>
                <w:szCs w:val="21"/>
                <w:highlight w:val="none"/>
                <w:lang w:val="en-US" w:eastAsia="zh-CN"/>
              </w:rPr>
              <w:t>符合</w:t>
            </w:r>
            <w:r>
              <w:rPr>
                <w:rFonts w:ascii="宋体" w:hAnsi="宋体" w:eastAsia="宋体" w:cs="宋体"/>
                <w:color w:val="auto"/>
                <w:szCs w:val="21"/>
                <w:highlight w:val="none"/>
              </w:rPr>
              <w:t>一类指示物标准</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2.颜色由黄色变黑色</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3.适用于棉布材质及无纺布灭菌包的封包</w:t>
            </w:r>
            <w:r>
              <w:rPr>
                <w:rFonts w:hint="eastAsia" w:ascii="宋体" w:hAnsi="宋体" w:eastAsia="宋体" w:cs="宋体"/>
                <w:color w:val="auto"/>
                <w:szCs w:val="21"/>
                <w:highlight w:val="none"/>
                <w:lang w:eastAsia="zh-CN"/>
              </w:rPr>
              <w:t>。</w:t>
            </w:r>
          </w:p>
          <w:p w14:paraId="1F4DED0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4</w:t>
            </w:r>
            <w:r>
              <w:rPr>
                <w:rFonts w:ascii="宋体" w:hAnsi="宋体" w:eastAsia="宋体" w:cs="宋体"/>
                <w:color w:val="auto"/>
                <w:szCs w:val="21"/>
                <w:highlight w:val="none"/>
              </w:rPr>
              <w:t>.生产企业通过ISO质量体系认证</w:t>
            </w:r>
            <w:r>
              <w:rPr>
                <w:rFonts w:hint="eastAsia" w:ascii="宋体" w:hAnsi="宋体" w:eastAsia="宋体" w:cs="宋体"/>
                <w:color w:val="auto"/>
                <w:szCs w:val="21"/>
                <w:highlight w:val="none"/>
                <w:lang w:eastAsia="zh-CN"/>
              </w:rPr>
              <w:t>。</w:t>
            </w:r>
          </w:p>
        </w:tc>
      </w:tr>
      <w:tr w14:paraId="1498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76942FDB">
            <w:pPr>
              <w:jc w:val="center"/>
              <w:rPr>
                <w:rFonts w:ascii="黑体" w:hAnsi="黑体" w:eastAsia="黑体" w:cs="黑体"/>
                <w:sz w:val="21"/>
                <w:szCs w:val="21"/>
                <w:highlight w:val="none"/>
              </w:rPr>
            </w:pPr>
            <w:r>
              <w:rPr>
                <w:rFonts w:hint="eastAsia" w:ascii="黑体" w:hAnsi="黑体" w:eastAsia="黑体" w:cs="黑体"/>
                <w:sz w:val="21"/>
                <w:szCs w:val="21"/>
                <w:highlight w:val="none"/>
              </w:rPr>
              <w:t>5</w:t>
            </w:r>
          </w:p>
        </w:tc>
        <w:tc>
          <w:tcPr>
            <w:tcW w:w="1182" w:type="dxa"/>
            <w:noWrap/>
            <w:vAlign w:val="center"/>
          </w:tcPr>
          <w:p w14:paraId="0DF362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灭菌封包胶粘带</w:t>
            </w:r>
          </w:p>
        </w:tc>
        <w:tc>
          <w:tcPr>
            <w:tcW w:w="1137" w:type="dxa"/>
            <w:noWrap/>
            <w:vAlign w:val="center"/>
          </w:tcPr>
          <w:p w14:paraId="1781AC0F">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04665D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1BF2C31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850" w:type="dxa"/>
            <w:noWrap/>
            <w:vAlign w:val="center"/>
          </w:tcPr>
          <w:p w14:paraId="71BDACDB">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120</w:t>
            </w:r>
          </w:p>
        </w:tc>
        <w:tc>
          <w:tcPr>
            <w:tcW w:w="850" w:type="dxa"/>
            <w:noWrap/>
            <w:vAlign w:val="center"/>
          </w:tcPr>
          <w:p w14:paraId="602A8B68">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3240</w:t>
            </w:r>
          </w:p>
        </w:tc>
        <w:tc>
          <w:tcPr>
            <w:tcW w:w="3055" w:type="dxa"/>
            <w:noWrap/>
            <w:vAlign w:val="center"/>
          </w:tcPr>
          <w:p w14:paraId="707BD3D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1.采用美纹纸为基材，具有伸缩性</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.采用耐高温型压敏胶，具有高持粘力</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3.适用于重复使用的棉布材料及无纺布封包</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w:t>
            </w:r>
          </w:p>
          <w:p w14:paraId="59BD011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4</w:t>
            </w:r>
            <w:r>
              <w:rPr>
                <w:rFonts w:ascii="宋体" w:hAnsi="宋体" w:eastAsia="宋体" w:cs="宋体"/>
                <w:color w:val="auto"/>
                <w:szCs w:val="21"/>
                <w:highlight w:val="none"/>
              </w:rPr>
              <w:t>.生产企业通过ISO质量体系认证</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w:t>
            </w:r>
          </w:p>
        </w:tc>
      </w:tr>
      <w:tr w14:paraId="55C8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EB111F9">
            <w:pPr>
              <w:jc w:val="center"/>
              <w:rPr>
                <w:rFonts w:ascii="黑体" w:hAnsi="黑体" w:eastAsia="黑体" w:cs="黑体"/>
                <w:sz w:val="21"/>
                <w:szCs w:val="21"/>
                <w:highlight w:val="none"/>
              </w:rPr>
            </w:pPr>
            <w:r>
              <w:rPr>
                <w:rFonts w:hint="eastAsia" w:ascii="黑体" w:hAnsi="黑体" w:eastAsia="黑体" w:cs="黑体"/>
                <w:sz w:val="21"/>
                <w:szCs w:val="21"/>
                <w:highlight w:val="none"/>
              </w:rPr>
              <w:t>6</w:t>
            </w:r>
          </w:p>
        </w:tc>
        <w:tc>
          <w:tcPr>
            <w:tcW w:w="1182" w:type="dxa"/>
            <w:noWrap/>
            <w:vAlign w:val="center"/>
          </w:tcPr>
          <w:p w14:paraId="2FAA9F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压力蒸汽灭菌化学书写标签</w:t>
            </w:r>
          </w:p>
        </w:tc>
        <w:tc>
          <w:tcPr>
            <w:tcW w:w="1137" w:type="dxa"/>
            <w:noWrap/>
            <w:vAlign w:val="center"/>
          </w:tcPr>
          <w:p w14:paraId="6C5795D8">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5F9AE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57C7D18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0.16</w:t>
            </w:r>
          </w:p>
        </w:tc>
        <w:tc>
          <w:tcPr>
            <w:tcW w:w="850" w:type="dxa"/>
            <w:noWrap/>
            <w:vAlign w:val="center"/>
          </w:tcPr>
          <w:p w14:paraId="019A181E">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3500</w:t>
            </w:r>
          </w:p>
        </w:tc>
        <w:tc>
          <w:tcPr>
            <w:tcW w:w="850" w:type="dxa"/>
            <w:noWrap/>
            <w:vAlign w:val="center"/>
          </w:tcPr>
          <w:p w14:paraId="7E74770F">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560</w:t>
            </w:r>
          </w:p>
        </w:tc>
        <w:tc>
          <w:tcPr>
            <w:tcW w:w="3055" w:type="dxa"/>
            <w:noWrap/>
            <w:vAlign w:val="center"/>
          </w:tcPr>
          <w:p w14:paraId="4309FD5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1.产品检验标准符合压力蒸汽一类化学指示物的检测要求</w:t>
            </w:r>
            <w:r>
              <w:rPr>
                <w:rFonts w:hint="eastAsia" w:ascii="宋体" w:hAnsi="宋体" w:eastAsia="宋体" w:cs="宋体"/>
                <w:color w:val="auto"/>
                <w:szCs w:val="21"/>
                <w:highlight w:val="none"/>
                <w:lang w:eastAsia="zh-CN"/>
              </w:rPr>
              <w:t>。</w:t>
            </w:r>
          </w:p>
          <w:p w14:paraId="283FFA6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2.标签面材为美光纸，纸张强度高</w:t>
            </w:r>
            <w:r>
              <w:rPr>
                <w:rFonts w:hint="eastAsia" w:ascii="宋体" w:hAnsi="宋体" w:eastAsia="宋体" w:cs="宋体"/>
                <w:color w:val="auto"/>
                <w:szCs w:val="21"/>
                <w:highlight w:val="none"/>
                <w:lang w:eastAsia="zh-CN"/>
              </w:rPr>
              <w:t>。</w:t>
            </w:r>
          </w:p>
          <w:p w14:paraId="55E32ED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3.指示油墨由黄色变为黑色合格，灭菌温度121℃~134℃范围通用</w:t>
            </w:r>
            <w:r>
              <w:rPr>
                <w:rFonts w:hint="eastAsia" w:ascii="宋体" w:hAnsi="宋体" w:eastAsia="宋体" w:cs="宋体"/>
                <w:color w:val="auto"/>
                <w:szCs w:val="21"/>
                <w:highlight w:val="none"/>
                <w:lang w:eastAsia="zh-CN"/>
              </w:rPr>
              <w:t>。</w:t>
            </w:r>
          </w:p>
          <w:p w14:paraId="6AAAA24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4. 产品可配合针式标签打印机打印，也可手写使用</w:t>
            </w:r>
            <w:r>
              <w:rPr>
                <w:rFonts w:hint="eastAsia" w:ascii="宋体" w:hAnsi="宋体" w:eastAsia="宋体" w:cs="宋体"/>
                <w:color w:val="auto"/>
                <w:szCs w:val="21"/>
                <w:highlight w:val="none"/>
                <w:lang w:eastAsia="zh-CN"/>
              </w:rPr>
              <w:t>。</w:t>
            </w:r>
          </w:p>
          <w:p w14:paraId="3BD3FD0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w:t>
            </w:r>
            <w:r>
              <w:rPr>
                <w:rFonts w:ascii="宋体" w:hAnsi="宋体" w:eastAsia="宋体" w:cs="宋体"/>
                <w:color w:val="auto"/>
                <w:szCs w:val="21"/>
                <w:highlight w:val="none"/>
              </w:rPr>
              <w:t>.生产企业通过ISO质量体系认证</w:t>
            </w:r>
            <w:r>
              <w:rPr>
                <w:rFonts w:hint="eastAsia" w:ascii="宋体" w:hAnsi="宋体" w:eastAsia="宋体" w:cs="宋体"/>
                <w:color w:val="auto"/>
                <w:szCs w:val="21"/>
                <w:highlight w:val="none"/>
                <w:lang w:eastAsia="zh-CN"/>
              </w:rPr>
              <w:t>。</w:t>
            </w:r>
          </w:p>
        </w:tc>
      </w:tr>
      <w:tr w14:paraId="3396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7F89FC8E">
            <w:pPr>
              <w:jc w:val="center"/>
              <w:rPr>
                <w:rFonts w:ascii="黑体" w:hAnsi="黑体" w:eastAsia="黑体" w:cs="黑体"/>
                <w:sz w:val="21"/>
                <w:szCs w:val="21"/>
                <w:highlight w:val="none"/>
              </w:rPr>
            </w:pPr>
            <w:r>
              <w:rPr>
                <w:rFonts w:hint="eastAsia" w:ascii="黑体" w:hAnsi="黑体" w:eastAsia="黑体" w:cs="黑体"/>
                <w:sz w:val="21"/>
                <w:szCs w:val="21"/>
                <w:highlight w:val="none"/>
              </w:rPr>
              <w:t>7</w:t>
            </w:r>
          </w:p>
        </w:tc>
        <w:tc>
          <w:tcPr>
            <w:tcW w:w="1182" w:type="dxa"/>
            <w:noWrap/>
            <w:vAlign w:val="center"/>
          </w:tcPr>
          <w:p w14:paraId="1EB413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BD预警测试包</w:t>
            </w:r>
          </w:p>
        </w:tc>
        <w:tc>
          <w:tcPr>
            <w:tcW w:w="1137" w:type="dxa"/>
            <w:noWrap/>
            <w:vAlign w:val="center"/>
          </w:tcPr>
          <w:p w14:paraId="1CA94719">
            <w:pPr>
              <w:widowControl/>
              <w:ind w:firstLine="200" w:firstLineChars="100"/>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5F1D5F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38" w:type="dxa"/>
            <w:noWrap/>
            <w:vAlign w:val="center"/>
          </w:tcPr>
          <w:p w14:paraId="709E46D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850" w:type="dxa"/>
            <w:noWrap/>
            <w:vAlign w:val="center"/>
          </w:tcPr>
          <w:p w14:paraId="2406BAC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550</w:t>
            </w:r>
          </w:p>
        </w:tc>
        <w:tc>
          <w:tcPr>
            <w:tcW w:w="850" w:type="dxa"/>
            <w:noWrap/>
            <w:vAlign w:val="center"/>
          </w:tcPr>
          <w:p w14:paraId="1AA300C6">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22000</w:t>
            </w:r>
          </w:p>
        </w:tc>
        <w:tc>
          <w:tcPr>
            <w:tcW w:w="3055" w:type="dxa"/>
            <w:noWrap/>
            <w:vAlign w:val="center"/>
          </w:tcPr>
          <w:p w14:paraId="707A8A5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1.产品检验标准符合压力蒸汽灭菌第二类化学指示物的要求，有卫生安全评价报告</w:t>
            </w:r>
            <w:r>
              <w:rPr>
                <w:rFonts w:hint="eastAsia" w:ascii="宋体" w:hAnsi="宋体" w:eastAsia="宋体" w:cs="宋体"/>
                <w:color w:val="auto"/>
                <w:szCs w:val="21"/>
                <w:highlight w:val="none"/>
                <w:lang w:eastAsia="zh-CN"/>
              </w:rPr>
              <w:t>。</w:t>
            </w:r>
          </w:p>
          <w:p w14:paraId="148FA0D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2.产品含有B-D标准测试图和B-D预警测试图，用于压力蒸汽灭菌器冷空气排除和饱和蒸汽穿透效果的监测和预警</w:t>
            </w:r>
            <w:r>
              <w:rPr>
                <w:rFonts w:hint="eastAsia" w:ascii="宋体" w:hAnsi="宋体" w:eastAsia="宋体" w:cs="宋体"/>
                <w:color w:val="auto"/>
                <w:szCs w:val="21"/>
                <w:highlight w:val="none"/>
                <w:lang w:eastAsia="zh-CN"/>
              </w:rPr>
              <w:t>。</w:t>
            </w:r>
          </w:p>
          <w:p w14:paraId="5E01799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3</w:t>
            </w:r>
            <w:r>
              <w:rPr>
                <w:rFonts w:ascii="宋体" w:hAnsi="宋体" w:eastAsia="宋体" w:cs="宋体"/>
                <w:color w:val="auto"/>
                <w:szCs w:val="21"/>
                <w:highlight w:val="none"/>
              </w:rPr>
              <w:t>.生产企业通过ISO质量体系认证</w:t>
            </w:r>
            <w:r>
              <w:rPr>
                <w:rFonts w:hint="eastAsia" w:ascii="宋体" w:hAnsi="宋体" w:eastAsia="宋体" w:cs="宋体"/>
                <w:color w:val="auto"/>
                <w:szCs w:val="21"/>
                <w:highlight w:val="none"/>
                <w:lang w:eastAsia="zh-CN"/>
              </w:rPr>
              <w:t>。</w:t>
            </w:r>
          </w:p>
        </w:tc>
      </w:tr>
      <w:tr w14:paraId="254C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D3243D2">
            <w:pPr>
              <w:jc w:val="center"/>
              <w:rPr>
                <w:rFonts w:ascii="黑体" w:hAnsi="黑体" w:eastAsia="黑体" w:cs="黑体"/>
                <w:sz w:val="21"/>
                <w:szCs w:val="21"/>
                <w:highlight w:val="none"/>
              </w:rPr>
            </w:pPr>
            <w:r>
              <w:rPr>
                <w:rFonts w:hint="eastAsia" w:ascii="黑体" w:hAnsi="黑体" w:eastAsia="黑体" w:cs="黑体"/>
                <w:sz w:val="21"/>
                <w:szCs w:val="21"/>
                <w:highlight w:val="none"/>
              </w:rPr>
              <w:t>8</w:t>
            </w:r>
          </w:p>
        </w:tc>
        <w:tc>
          <w:tcPr>
            <w:tcW w:w="1182" w:type="dxa"/>
            <w:noWrap/>
            <w:vAlign w:val="center"/>
          </w:tcPr>
          <w:p w14:paraId="5AD15A8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压力蒸汽灭菌过程化学验证装置（管腔PCD）</w:t>
            </w:r>
          </w:p>
        </w:tc>
        <w:tc>
          <w:tcPr>
            <w:tcW w:w="1137" w:type="dxa"/>
            <w:noWrap/>
            <w:vAlign w:val="center"/>
          </w:tcPr>
          <w:p w14:paraId="191D871D">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3F0C9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38" w:type="dxa"/>
            <w:noWrap/>
            <w:vAlign w:val="center"/>
          </w:tcPr>
          <w:p w14:paraId="2F959D3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50" w:type="dxa"/>
            <w:noWrap/>
            <w:vAlign w:val="center"/>
          </w:tcPr>
          <w:p w14:paraId="05B6A13B">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50" w:type="dxa"/>
            <w:noWrap/>
            <w:vAlign w:val="center"/>
          </w:tcPr>
          <w:p w14:paraId="44768115">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7200</w:t>
            </w:r>
          </w:p>
        </w:tc>
        <w:tc>
          <w:tcPr>
            <w:tcW w:w="3055" w:type="dxa"/>
            <w:noWrap/>
            <w:vAlign w:val="center"/>
          </w:tcPr>
          <w:p w14:paraId="04613F4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1.产品配套指示卡检验标准符合压力蒸汽灭菌第五类化学指示物的要求，产品装置检验标</w:t>
            </w:r>
            <w:r>
              <w:rPr>
                <w:rFonts w:hint="eastAsia" w:ascii="宋体" w:hAnsi="宋体" w:cs="宋体"/>
                <w:color w:val="auto"/>
                <w:szCs w:val="21"/>
                <w:highlight w:val="none"/>
                <w:lang w:val="en-US" w:eastAsia="zh-CN"/>
              </w:rPr>
              <w:t>准</w:t>
            </w:r>
            <w:r>
              <w:rPr>
                <w:rFonts w:ascii="宋体" w:hAnsi="宋体" w:eastAsia="宋体" w:cs="宋体"/>
                <w:color w:val="auto"/>
                <w:szCs w:val="21"/>
                <w:highlight w:val="none"/>
              </w:rPr>
              <w:t>有卫生安全评价报告</w:t>
            </w:r>
            <w:r>
              <w:rPr>
                <w:rFonts w:hint="eastAsia" w:ascii="宋体" w:hAnsi="宋体" w:eastAsia="宋体" w:cs="宋体"/>
                <w:color w:val="auto"/>
                <w:szCs w:val="21"/>
                <w:highlight w:val="none"/>
                <w:lang w:eastAsia="zh-CN"/>
              </w:rPr>
              <w:t>。</w:t>
            </w:r>
          </w:p>
          <w:p w14:paraId="3CD2F30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2.产品应用于压力蒸汽灭菌的批量监测放行</w:t>
            </w:r>
            <w:r>
              <w:rPr>
                <w:rFonts w:hint="eastAsia" w:ascii="宋体" w:hAnsi="宋体" w:eastAsia="宋体" w:cs="宋体"/>
                <w:color w:val="auto"/>
                <w:szCs w:val="21"/>
                <w:highlight w:val="none"/>
                <w:lang w:eastAsia="zh-CN"/>
              </w:rPr>
              <w:t>。</w:t>
            </w:r>
          </w:p>
          <w:p w14:paraId="7E823DD2">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3.管路材质为聚四氟乙烯，内径</w:t>
            </w:r>
            <w:r>
              <w:rPr>
                <w:rFonts w:hint="eastAsia" w:ascii="宋体" w:hAnsi="宋体" w:cs="宋体"/>
                <w:color w:val="auto"/>
                <w:szCs w:val="21"/>
                <w:highlight w:val="none"/>
                <w:lang w:val="en-US" w:eastAsia="zh-CN"/>
              </w:rPr>
              <w:t>约</w:t>
            </w:r>
            <w:r>
              <w:rPr>
                <w:rFonts w:ascii="宋体" w:hAnsi="宋体" w:eastAsia="宋体" w:cs="宋体"/>
                <w:color w:val="auto"/>
                <w:szCs w:val="21"/>
                <w:highlight w:val="none"/>
              </w:rPr>
              <w:t>2mm，长度</w:t>
            </w:r>
            <w:r>
              <w:rPr>
                <w:rFonts w:hint="eastAsia" w:ascii="宋体" w:hAnsi="宋体" w:cs="宋体"/>
                <w:color w:val="auto"/>
                <w:szCs w:val="21"/>
                <w:highlight w:val="none"/>
                <w:lang w:val="en-US" w:eastAsia="zh-CN"/>
              </w:rPr>
              <w:t>约</w:t>
            </w:r>
            <w:r>
              <w:rPr>
                <w:rFonts w:ascii="宋体" w:hAnsi="宋体" w:eastAsia="宋体" w:cs="宋体"/>
                <w:color w:val="auto"/>
                <w:szCs w:val="21"/>
                <w:highlight w:val="none"/>
              </w:rPr>
              <w:t>1.5m，单盲端</w:t>
            </w:r>
          </w:p>
          <w:p w14:paraId="7F03177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4.产品配套指示卡正面覆膜，灭菌后膜无损坏、不脱落，背面粘贴有双面胶，方便粘贴记录</w:t>
            </w:r>
            <w:r>
              <w:rPr>
                <w:rFonts w:hint="eastAsia" w:ascii="宋体" w:hAnsi="宋体" w:eastAsia="宋体" w:cs="宋体"/>
                <w:color w:val="auto"/>
                <w:szCs w:val="21"/>
                <w:highlight w:val="none"/>
                <w:lang w:eastAsia="zh-CN"/>
              </w:rPr>
              <w:t>。</w:t>
            </w:r>
          </w:p>
          <w:p w14:paraId="4FCA125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5.与标准测试包做对比（检测报告可佐证）</w:t>
            </w:r>
            <w:r>
              <w:rPr>
                <w:rFonts w:hint="eastAsia" w:ascii="宋体" w:hAnsi="宋体" w:eastAsia="宋体" w:cs="宋体"/>
                <w:color w:val="auto"/>
                <w:szCs w:val="21"/>
                <w:highlight w:val="none"/>
                <w:lang w:eastAsia="zh-CN"/>
              </w:rPr>
              <w:t>。</w:t>
            </w:r>
          </w:p>
          <w:p w14:paraId="070E3D3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6</w:t>
            </w:r>
            <w:r>
              <w:rPr>
                <w:rFonts w:ascii="宋体" w:hAnsi="宋体" w:eastAsia="宋体" w:cs="宋体"/>
                <w:color w:val="auto"/>
                <w:szCs w:val="21"/>
                <w:highlight w:val="none"/>
              </w:rPr>
              <w:t>.生产企业通过ISO质量体系认证</w:t>
            </w:r>
            <w:r>
              <w:rPr>
                <w:rFonts w:hint="eastAsia" w:ascii="宋体" w:hAnsi="宋体" w:eastAsia="宋体" w:cs="宋体"/>
                <w:color w:val="auto"/>
                <w:szCs w:val="21"/>
                <w:highlight w:val="none"/>
                <w:lang w:eastAsia="zh-CN"/>
              </w:rPr>
              <w:t>。</w:t>
            </w:r>
          </w:p>
        </w:tc>
      </w:tr>
      <w:tr w14:paraId="5075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5362D151">
            <w:pPr>
              <w:jc w:val="center"/>
              <w:rPr>
                <w:rFonts w:ascii="黑体" w:hAnsi="黑体" w:eastAsia="黑体" w:cs="黑体"/>
                <w:sz w:val="21"/>
                <w:szCs w:val="21"/>
                <w:highlight w:val="none"/>
              </w:rPr>
            </w:pPr>
            <w:r>
              <w:rPr>
                <w:rFonts w:hint="eastAsia" w:ascii="黑体" w:hAnsi="黑体" w:eastAsia="黑体" w:cs="黑体"/>
                <w:sz w:val="21"/>
                <w:szCs w:val="21"/>
                <w:highlight w:val="none"/>
              </w:rPr>
              <w:t>9</w:t>
            </w:r>
          </w:p>
        </w:tc>
        <w:tc>
          <w:tcPr>
            <w:tcW w:w="1182" w:type="dxa"/>
            <w:noWrap/>
            <w:vAlign w:val="center"/>
          </w:tcPr>
          <w:p w14:paraId="3A2055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环氧乙烷快速生物测试包</w:t>
            </w:r>
          </w:p>
        </w:tc>
        <w:tc>
          <w:tcPr>
            <w:tcW w:w="1137" w:type="dxa"/>
            <w:noWrap/>
            <w:vAlign w:val="center"/>
          </w:tcPr>
          <w:p w14:paraId="7FE54E9F">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6B5B48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938" w:type="dxa"/>
            <w:noWrap/>
            <w:vAlign w:val="center"/>
          </w:tcPr>
          <w:p w14:paraId="62B3668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w:t>
            </w:r>
          </w:p>
        </w:tc>
        <w:tc>
          <w:tcPr>
            <w:tcW w:w="850" w:type="dxa"/>
            <w:noWrap/>
            <w:vAlign w:val="center"/>
          </w:tcPr>
          <w:p w14:paraId="4ED9D8AE">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50</w:t>
            </w:r>
          </w:p>
        </w:tc>
        <w:tc>
          <w:tcPr>
            <w:tcW w:w="850" w:type="dxa"/>
            <w:noWrap/>
            <w:vAlign w:val="center"/>
          </w:tcPr>
          <w:p w14:paraId="16EF3887">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8000</w:t>
            </w:r>
          </w:p>
        </w:tc>
        <w:tc>
          <w:tcPr>
            <w:tcW w:w="3055" w:type="dxa"/>
            <w:noWrap/>
            <w:vAlign w:val="center"/>
          </w:tcPr>
          <w:p w14:paraId="71156CF8">
            <w:pPr>
              <w:keepNext w:val="0"/>
              <w:keepLines w:val="0"/>
              <w:pageBreakBefore w:val="0"/>
              <w:widowControl w:val="0"/>
              <w:numPr>
                <w:ilvl w:val="0"/>
                <w:numId w:val="1"/>
              </w:numPr>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产品适用于环氧乙烷灭菌效果生物监测</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.产品应具有带CMA认证的第三方检测报告（检测项目包括生物指示物菌含量，D值，存活杀灭时间以及有效期）和卫生安全评价报告</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w:t>
            </w:r>
          </w:p>
          <w:p w14:paraId="7FBB23E6">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ascii="宋体" w:hAnsi="宋体" w:eastAsia="宋体" w:cs="宋体"/>
                <w:color w:val="auto"/>
                <w:szCs w:val="21"/>
                <w:highlight w:val="green"/>
              </w:rPr>
              <w:t>4.产品应在</w:t>
            </w:r>
            <w:r>
              <w:rPr>
                <w:rFonts w:hint="eastAsia" w:ascii="宋体" w:hAnsi="宋体" w:cs="宋体"/>
                <w:color w:val="auto"/>
                <w:szCs w:val="21"/>
                <w:highlight w:val="green"/>
                <w:lang w:val="en-US" w:eastAsia="zh-CN"/>
              </w:rPr>
              <w:t>4</w:t>
            </w:r>
            <w:r>
              <w:rPr>
                <w:rFonts w:ascii="宋体" w:hAnsi="宋体" w:eastAsia="宋体" w:cs="宋体"/>
                <w:color w:val="auto"/>
                <w:szCs w:val="21"/>
                <w:highlight w:val="green"/>
              </w:rPr>
              <w:t>小时内出具生物监测结果</w:t>
            </w:r>
            <w:r>
              <w:rPr>
                <w:rFonts w:hint="eastAsia" w:ascii="宋体" w:hAnsi="宋体" w:eastAsia="宋体" w:cs="宋体"/>
                <w:color w:val="auto"/>
                <w:szCs w:val="21"/>
                <w:highlight w:val="green"/>
                <w:lang w:eastAsia="zh-CN"/>
              </w:rPr>
              <w:t>。</w:t>
            </w:r>
            <w:r>
              <w:rPr>
                <w:rFonts w:ascii="宋体" w:hAnsi="宋体" w:eastAsia="宋体" w:cs="宋体"/>
                <w:color w:val="auto"/>
                <w:szCs w:val="21"/>
                <w:highlight w:val="green"/>
              </w:rPr>
              <w:t xml:space="preserve">    </w:t>
            </w:r>
            <w:r>
              <w:rPr>
                <w:rFonts w:ascii="宋体" w:hAnsi="宋体" w:eastAsia="宋体" w:cs="宋体"/>
                <w:color w:val="auto"/>
                <w:szCs w:val="21"/>
                <w:highlight w:val="none"/>
              </w:rPr>
              <w:t xml:space="preserve">              5.产品在说明书要求的储存环境下有效期应≥12个月</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6.产品应为自含式</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7.产品采用一次性管腔设计，能标准化精确监测环氧乙烷管腔器械灭菌效果</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              8.产品指示瓶身应带有变色标签，并且灭菌前后颜色有明显差异。可显示是否经过灭菌</w:t>
            </w:r>
            <w:r>
              <w:rPr>
                <w:rFonts w:hint="eastAsia" w:ascii="宋体" w:hAnsi="宋体" w:eastAsia="宋体" w:cs="宋体"/>
                <w:color w:val="auto"/>
                <w:szCs w:val="21"/>
                <w:highlight w:val="none"/>
                <w:lang w:eastAsia="zh-CN"/>
              </w:rPr>
              <w:t>。</w:t>
            </w:r>
          </w:p>
        </w:tc>
      </w:tr>
      <w:tr w14:paraId="3405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E6CEB51">
            <w:pPr>
              <w:jc w:val="center"/>
              <w:rPr>
                <w:rFonts w:ascii="黑体" w:hAnsi="黑体" w:eastAsia="黑体" w:cs="黑体"/>
                <w:sz w:val="21"/>
                <w:szCs w:val="21"/>
                <w:highlight w:val="none"/>
              </w:rPr>
            </w:pPr>
            <w:r>
              <w:rPr>
                <w:rFonts w:hint="eastAsia" w:ascii="黑体" w:hAnsi="黑体" w:eastAsia="黑体" w:cs="黑体"/>
                <w:sz w:val="21"/>
                <w:szCs w:val="21"/>
                <w:highlight w:val="none"/>
              </w:rPr>
              <w:t>10</w:t>
            </w:r>
          </w:p>
        </w:tc>
        <w:tc>
          <w:tcPr>
            <w:tcW w:w="1182" w:type="dxa"/>
            <w:noWrap/>
            <w:vAlign w:val="center"/>
          </w:tcPr>
          <w:p w14:paraId="4FA159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环氧乙烷灭菌包内化学指示卡</w:t>
            </w:r>
          </w:p>
        </w:tc>
        <w:tc>
          <w:tcPr>
            <w:tcW w:w="1137" w:type="dxa"/>
            <w:noWrap/>
            <w:vAlign w:val="center"/>
          </w:tcPr>
          <w:p w14:paraId="18A1BF41">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4943A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938" w:type="dxa"/>
            <w:noWrap/>
            <w:vAlign w:val="center"/>
          </w:tcPr>
          <w:p w14:paraId="160E93B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50" w:type="dxa"/>
            <w:noWrap/>
            <w:vAlign w:val="center"/>
          </w:tcPr>
          <w:p w14:paraId="69CD481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400</w:t>
            </w:r>
          </w:p>
        </w:tc>
        <w:tc>
          <w:tcPr>
            <w:tcW w:w="850" w:type="dxa"/>
            <w:noWrap/>
            <w:vAlign w:val="center"/>
          </w:tcPr>
          <w:p w14:paraId="4EB5255D">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640</w:t>
            </w:r>
          </w:p>
        </w:tc>
        <w:tc>
          <w:tcPr>
            <w:tcW w:w="3055" w:type="dxa"/>
            <w:noWrap/>
            <w:vAlign w:val="center"/>
          </w:tcPr>
          <w:p w14:paraId="0FC078C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1.符合四类指示物标准</w:t>
            </w:r>
            <w:r>
              <w:rPr>
                <w:rFonts w:hint="eastAsia" w:ascii="宋体" w:hAnsi="宋体" w:eastAsia="宋体" w:cs="宋体"/>
                <w:color w:val="auto"/>
                <w:szCs w:val="21"/>
                <w:highlight w:val="none"/>
                <w:lang w:eastAsia="zh-CN"/>
              </w:rPr>
              <w:t>。</w:t>
            </w:r>
          </w:p>
          <w:p w14:paraId="442EBF2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ascii="宋体" w:hAnsi="宋体" w:eastAsia="宋体" w:cs="宋体"/>
                <w:color w:val="auto"/>
                <w:szCs w:val="21"/>
                <w:highlight w:val="none"/>
              </w:rPr>
              <w:t>2.颜色由红色变为绿色</w:t>
            </w:r>
            <w:r>
              <w:rPr>
                <w:rFonts w:hint="eastAsia" w:ascii="宋体" w:hAnsi="宋体" w:eastAsia="宋体" w:cs="宋体"/>
                <w:color w:val="auto"/>
                <w:szCs w:val="21"/>
                <w:highlight w:val="none"/>
                <w:lang w:eastAsia="zh-CN"/>
              </w:rPr>
              <w:t>。</w:t>
            </w:r>
          </w:p>
        </w:tc>
      </w:tr>
      <w:tr w14:paraId="1E76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8303DC8">
            <w:pPr>
              <w:jc w:val="center"/>
              <w:rPr>
                <w:rFonts w:ascii="黑体" w:hAnsi="黑体" w:eastAsia="黑体" w:cs="黑体"/>
                <w:sz w:val="21"/>
                <w:szCs w:val="21"/>
                <w:highlight w:val="none"/>
              </w:rPr>
            </w:pPr>
            <w:r>
              <w:rPr>
                <w:rFonts w:hint="eastAsia" w:ascii="黑体" w:hAnsi="黑体" w:eastAsia="黑体" w:cs="黑体"/>
                <w:sz w:val="21"/>
                <w:szCs w:val="21"/>
                <w:highlight w:val="none"/>
              </w:rPr>
              <w:t>11</w:t>
            </w:r>
          </w:p>
        </w:tc>
        <w:tc>
          <w:tcPr>
            <w:tcW w:w="1182" w:type="dxa"/>
            <w:noWrap/>
            <w:vAlign w:val="center"/>
          </w:tcPr>
          <w:p w14:paraId="525607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环氧乙烷灭菌封包胶带</w:t>
            </w:r>
          </w:p>
        </w:tc>
        <w:tc>
          <w:tcPr>
            <w:tcW w:w="1137" w:type="dxa"/>
            <w:noWrap/>
            <w:vAlign w:val="center"/>
          </w:tcPr>
          <w:p w14:paraId="24C4B224">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338E52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2B00E7B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850" w:type="dxa"/>
            <w:noWrap/>
            <w:vAlign w:val="center"/>
          </w:tcPr>
          <w:p w14:paraId="0A53262C">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50" w:type="dxa"/>
            <w:noWrap/>
            <w:vAlign w:val="center"/>
          </w:tcPr>
          <w:p w14:paraId="4585F134">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400</w:t>
            </w:r>
          </w:p>
        </w:tc>
        <w:tc>
          <w:tcPr>
            <w:tcW w:w="3055" w:type="dxa"/>
            <w:noWrap/>
            <w:vAlign w:val="center"/>
          </w:tcPr>
          <w:p w14:paraId="3F59481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1.符合一类指示物</w:t>
            </w:r>
            <w:r>
              <w:rPr>
                <w:rFonts w:hint="eastAsia" w:ascii="宋体" w:hAnsi="宋体" w:cs="宋体"/>
                <w:color w:val="auto"/>
                <w:szCs w:val="21"/>
                <w:highlight w:val="none"/>
                <w:lang w:val="en-US" w:eastAsia="zh-CN"/>
              </w:rPr>
              <w:t>标准</w:t>
            </w:r>
            <w:r>
              <w:rPr>
                <w:rFonts w:hint="eastAsia" w:ascii="宋体" w:hAnsi="宋体" w:eastAsia="宋体" w:cs="宋体"/>
                <w:color w:val="auto"/>
                <w:szCs w:val="21"/>
                <w:highlight w:val="none"/>
                <w:lang w:eastAsia="zh-CN"/>
              </w:rPr>
              <w:t>。</w:t>
            </w:r>
          </w:p>
          <w:p w14:paraId="11661AC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2.颜色由红色变为绿色</w:t>
            </w:r>
            <w:r>
              <w:rPr>
                <w:rFonts w:hint="eastAsia" w:ascii="宋体" w:hAnsi="宋体" w:eastAsia="宋体" w:cs="宋体"/>
                <w:color w:val="auto"/>
                <w:szCs w:val="21"/>
                <w:highlight w:val="none"/>
                <w:lang w:eastAsia="zh-CN"/>
              </w:rPr>
              <w:t>。</w:t>
            </w:r>
          </w:p>
          <w:p w14:paraId="475CA38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ascii="宋体" w:hAnsi="宋体" w:eastAsia="宋体" w:cs="宋体"/>
                <w:color w:val="auto"/>
                <w:szCs w:val="21"/>
                <w:highlight w:val="none"/>
              </w:rPr>
              <w:t>3.去除底纸，粘贴方便</w:t>
            </w:r>
            <w:r>
              <w:rPr>
                <w:rFonts w:hint="eastAsia" w:ascii="宋体" w:hAnsi="宋体" w:eastAsia="宋体" w:cs="宋体"/>
                <w:color w:val="auto"/>
                <w:szCs w:val="21"/>
                <w:highlight w:val="none"/>
                <w:lang w:eastAsia="zh-CN"/>
              </w:rPr>
              <w:t>。</w:t>
            </w:r>
          </w:p>
        </w:tc>
      </w:tr>
      <w:tr w14:paraId="7946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49EC3B3">
            <w:pPr>
              <w:jc w:val="center"/>
              <w:rPr>
                <w:rFonts w:ascii="黑体" w:hAnsi="黑体" w:eastAsia="黑体" w:cs="黑体"/>
                <w:sz w:val="21"/>
                <w:szCs w:val="21"/>
                <w:highlight w:val="none"/>
              </w:rPr>
            </w:pPr>
            <w:r>
              <w:rPr>
                <w:rFonts w:hint="eastAsia" w:ascii="黑体" w:hAnsi="黑体" w:eastAsia="黑体" w:cs="黑体"/>
                <w:sz w:val="21"/>
                <w:szCs w:val="21"/>
                <w:highlight w:val="none"/>
              </w:rPr>
              <w:t>12</w:t>
            </w:r>
          </w:p>
        </w:tc>
        <w:tc>
          <w:tcPr>
            <w:tcW w:w="1182" w:type="dxa"/>
            <w:noWrap/>
            <w:vAlign w:val="center"/>
          </w:tcPr>
          <w:p w14:paraId="276B11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压力蒸汽灭菌极速生物指示</w:t>
            </w: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（1小时以内）</w:t>
            </w:r>
          </w:p>
        </w:tc>
        <w:tc>
          <w:tcPr>
            <w:tcW w:w="1137" w:type="dxa"/>
            <w:noWrap/>
            <w:vAlign w:val="center"/>
          </w:tcPr>
          <w:p w14:paraId="42ABB6AA">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2E45965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938" w:type="dxa"/>
            <w:noWrap/>
            <w:vAlign w:val="center"/>
          </w:tcPr>
          <w:p w14:paraId="735C5BD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w:t>
            </w:r>
          </w:p>
        </w:tc>
        <w:tc>
          <w:tcPr>
            <w:tcW w:w="850" w:type="dxa"/>
            <w:noWrap/>
            <w:vAlign w:val="center"/>
          </w:tcPr>
          <w:p w14:paraId="67467961">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180</w:t>
            </w:r>
          </w:p>
        </w:tc>
        <w:tc>
          <w:tcPr>
            <w:tcW w:w="850" w:type="dxa"/>
            <w:noWrap/>
            <w:vAlign w:val="center"/>
          </w:tcPr>
          <w:p w14:paraId="53B7856D">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20520</w:t>
            </w:r>
          </w:p>
        </w:tc>
        <w:tc>
          <w:tcPr>
            <w:tcW w:w="3055" w:type="dxa"/>
            <w:noWrap/>
            <w:vAlign w:val="center"/>
          </w:tcPr>
          <w:p w14:paraId="2E21C9B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适用于压力蒸汽灭菌效果监测。</w:t>
            </w:r>
          </w:p>
          <w:p w14:paraId="3A3B983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hint="eastAsia" w:ascii="宋体" w:hAnsi="宋体" w:eastAsia="宋体" w:cs="宋体"/>
                <w:color w:val="auto"/>
                <w:sz w:val="24"/>
                <w:szCs w:val="24"/>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生物指示剂为自含式，方便使用</w:t>
            </w:r>
            <w:r>
              <w:rPr>
                <w:rFonts w:hint="eastAsia" w:ascii="宋体" w:hAnsi="宋体" w:eastAsia="宋体" w:cs="宋体"/>
                <w:color w:val="auto"/>
                <w:szCs w:val="21"/>
                <w:highlight w:val="none"/>
              </w:rPr>
              <w:t>，不需另外打包</w:t>
            </w:r>
            <w:r>
              <w:rPr>
                <w:rFonts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1小时内可出具生物监测结果。                      </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可提供具有CMA的第三方检测报告。</w:t>
            </w:r>
          </w:p>
          <w:p w14:paraId="4C1E6D3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 xml:space="preserve">具有灭菌后可变色的标签，其中变色药条与标签信息一体。  </w:t>
            </w:r>
            <w:r>
              <w:rPr>
                <w:rFonts w:hint="eastAsia" w:ascii="宋体" w:hAnsi="宋体" w:cs="宋体"/>
                <w:color w:val="auto"/>
                <w:szCs w:val="21"/>
                <w:highlight w:val="none"/>
                <w:lang w:val="en-US" w:eastAsia="zh-CN"/>
              </w:rPr>
              <w:t>6.</w:t>
            </w:r>
            <w:r>
              <w:rPr>
                <w:rFonts w:ascii="宋体" w:hAnsi="宋体" w:eastAsia="宋体" w:cs="宋体"/>
                <w:color w:val="auto"/>
                <w:szCs w:val="21"/>
                <w:highlight w:val="none"/>
              </w:rPr>
              <w:t>产品有效期≥24个月</w:t>
            </w:r>
            <w:r>
              <w:rPr>
                <w:rFonts w:hint="eastAsia" w:ascii="宋体" w:hAnsi="宋体" w:eastAsia="宋体" w:cs="宋体"/>
                <w:color w:val="auto"/>
                <w:szCs w:val="21"/>
                <w:highlight w:val="none"/>
                <w:lang w:eastAsia="zh-CN"/>
              </w:rPr>
              <w:t>。</w:t>
            </w:r>
          </w:p>
        </w:tc>
      </w:tr>
      <w:tr w14:paraId="1657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0238188">
            <w:pPr>
              <w:jc w:val="center"/>
              <w:rPr>
                <w:rFonts w:ascii="黑体" w:hAnsi="黑体" w:eastAsia="黑体" w:cs="黑体"/>
                <w:sz w:val="21"/>
                <w:szCs w:val="21"/>
              </w:rPr>
            </w:pPr>
            <w:r>
              <w:rPr>
                <w:rFonts w:hint="eastAsia" w:ascii="黑体" w:hAnsi="黑体" w:eastAsia="黑体" w:cs="黑体"/>
                <w:sz w:val="21"/>
                <w:szCs w:val="21"/>
              </w:rPr>
              <w:t>13</w:t>
            </w:r>
          </w:p>
        </w:tc>
        <w:tc>
          <w:tcPr>
            <w:tcW w:w="1182" w:type="dxa"/>
            <w:noWrap/>
            <w:vAlign w:val="center"/>
          </w:tcPr>
          <w:p w14:paraId="039A261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压力蒸汽灭菌极速生物阅读器</w:t>
            </w:r>
          </w:p>
        </w:tc>
        <w:tc>
          <w:tcPr>
            <w:tcW w:w="1137" w:type="dxa"/>
            <w:noWrap/>
            <w:vAlign w:val="center"/>
          </w:tcPr>
          <w:p w14:paraId="650334D0">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26F661F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938" w:type="dxa"/>
            <w:noWrap/>
            <w:vAlign w:val="center"/>
          </w:tcPr>
          <w:p w14:paraId="4E88823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免费使用权</w:t>
            </w:r>
          </w:p>
        </w:tc>
        <w:tc>
          <w:tcPr>
            <w:tcW w:w="850" w:type="dxa"/>
            <w:noWrap/>
            <w:vAlign w:val="center"/>
          </w:tcPr>
          <w:p w14:paraId="6F6CFE33">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noWrap/>
            <w:vAlign w:val="center"/>
          </w:tcPr>
          <w:p w14:paraId="4217674B">
            <w:pPr>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免费使用权</w:t>
            </w:r>
          </w:p>
        </w:tc>
        <w:tc>
          <w:tcPr>
            <w:tcW w:w="3055" w:type="dxa"/>
            <w:noWrap/>
            <w:vAlign w:val="center"/>
          </w:tcPr>
          <w:p w14:paraId="2DCF742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ascii="宋体" w:hAnsi="宋体" w:eastAsia="宋体" w:cs="宋体"/>
                <w:color w:val="auto"/>
                <w:szCs w:val="21"/>
                <w:highlight w:val="green"/>
              </w:rPr>
              <w:t>1. 实现1小时压力蒸汽灭菌生物监测。</w:t>
            </w:r>
          </w:p>
          <w:p w14:paraId="24A233A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ascii="宋体" w:hAnsi="宋体" w:eastAsia="宋体" w:cs="宋体"/>
                <w:color w:val="auto"/>
                <w:szCs w:val="21"/>
                <w:highlight w:val="green"/>
              </w:rPr>
              <w:t>2. 培养时间  阴性≤1小时，阳性报警最快15min。</w:t>
            </w:r>
          </w:p>
          <w:p w14:paraId="048AA65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ascii="宋体" w:hAnsi="宋体" w:eastAsia="宋体" w:cs="宋体"/>
                <w:color w:val="auto"/>
                <w:szCs w:val="21"/>
                <w:highlight w:val="green"/>
              </w:rPr>
              <w:t>3.培养孔数 ≥10个。</w:t>
            </w:r>
          </w:p>
          <w:p w14:paraId="3A31234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hint="eastAsia" w:ascii="宋体" w:hAnsi="宋体" w:cs="宋体"/>
                <w:color w:val="auto"/>
                <w:szCs w:val="21"/>
                <w:highlight w:val="green"/>
                <w:lang w:val="en-US" w:eastAsia="zh-CN"/>
              </w:rPr>
              <w:t>4</w:t>
            </w:r>
            <w:r>
              <w:rPr>
                <w:rFonts w:ascii="宋体" w:hAnsi="宋体" w:eastAsia="宋体" w:cs="宋体"/>
                <w:color w:val="auto"/>
                <w:szCs w:val="21"/>
                <w:highlight w:val="green"/>
              </w:rPr>
              <w:t>.自带防尘罩，起到防尘避光的效果。</w:t>
            </w:r>
          </w:p>
          <w:p w14:paraId="1744D9C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hint="eastAsia" w:ascii="宋体" w:hAnsi="宋体" w:cs="宋体"/>
                <w:color w:val="auto"/>
                <w:szCs w:val="21"/>
                <w:highlight w:val="green"/>
                <w:lang w:val="en-US" w:eastAsia="zh-CN"/>
              </w:rPr>
              <w:t>5</w:t>
            </w:r>
            <w:r>
              <w:rPr>
                <w:rFonts w:ascii="宋体" w:hAnsi="宋体" w:eastAsia="宋体" w:cs="宋体"/>
                <w:color w:val="auto"/>
                <w:szCs w:val="21"/>
                <w:highlight w:val="green"/>
              </w:rPr>
              <w:t xml:space="preserve">.听觉和视觉报警，监测到生物培养结束、操作不当、设备故障时，可实时提醒工作人员。    </w:t>
            </w:r>
            <w:r>
              <w:rPr>
                <w:rFonts w:hint="eastAsia" w:ascii="宋体" w:hAnsi="宋体" w:cs="宋体"/>
                <w:color w:val="auto"/>
                <w:szCs w:val="21"/>
                <w:highlight w:val="green"/>
                <w:lang w:val="en-US" w:eastAsia="zh-CN"/>
              </w:rPr>
              <w:t>6</w:t>
            </w:r>
            <w:r>
              <w:rPr>
                <w:rFonts w:ascii="宋体" w:hAnsi="宋体" w:eastAsia="宋体" w:cs="宋体"/>
                <w:color w:val="auto"/>
                <w:szCs w:val="21"/>
                <w:highlight w:val="green"/>
              </w:rPr>
              <w:t>.可定期提供温度验证与荧光验证，确保阅读器温度与荧光监测系统的准确性。</w:t>
            </w:r>
          </w:p>
          <w:p w14:paraId="65FCC8C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highlight w:val="green"/>
                <w:lang w:val="en-US" w:eastAsia="zh-CN"/>
              </w:rPr>
            </w:pPr>
            <w:r>
              <w:rPr>
                <w:rFonts w:hint="eastAsia" w:ascii="宋体" w:hAnsi="宋体" w:cs="宋体"/>
                <w:color w:val="auto"/>
                <w:szCs w:val="21"/>
                <w:highlight w:val="green"/>
                <w:lang w:val="en-US" w:eastAsia="zh-CN"/>
              </w:rPr>
              <w:t>7</w:t>
            </w:r>
            <w:r>
              <w:rPr>
                <w:rFonts w:hint="eastAsia" w:ascii="宋体" w:hAnsi="宋体" w:eastAsia="宋体" w:cs="宋体"/>
                <w:color w:val="auto"/>
                <w:szCs w:val="21"/>
                <w:highlight w:val="green"/>
                <w:lang w:val="en-US" w:eastAsia="zh-CN"/>
              </w:rPr>
              <w:t>.与所提供的</w:t>
            </w:r>
            <w:r>
              <w:rPr>
                <w:rFonts w:hint="eastAsia" w:ascii="宋体" w:hAnsi="宋体" w:eastAsia="宋体" w:cs="宋体"/>
                <w:color w:val="auto"/>
                <w:szCs w:val="21"/>
                <w:highlight w:val="green"/>
              </w:rPr>
              <w:t>压力蒸汽灭菌极速生物指示</w:t>
            </w:r>
            <w:r>
              <w:rPr>
                <w:rFonts w:hint="eastAsia" w:ascii="宋体" w:hAnsi="宋体" w:eastAsia="宋体" w:cs="宋体"/>
                <w:color w:val="auto"/>
                <w:szCs w:val="21"/>
                <w:highlight w:val="green"/>
                <w:lang w:val="en-US" w:eastAsia="zh-CN"/>
              </w:rPr>
              <w:t>包</w:t>
            </w:r>
            <w:r>
              <w:rPr>
                <w:rFonts w:hint="eastAsia" w:ascii="宋体" w:hAnsi="宋体" w:eastAsia="宋体" w:cs="宋体"/>
                <w:color w:val="auto"/>
                <w:szCs w:val="21"/>
                <w:highlight w:val="green"/>
              </w:rPr>
              <w:t>（1小时以内）</w:t>
            </w:r>
            <w:r>
              <w:rPr>
                <w:rFonts w:hint="eastAsia" w:ascii="宋体" w:hAnsi="宋体" w:eastAsia="宋体" w:cs="宋体"/>
                <w:color w:val="auto"/>
                <w:szCs w:val="21"/>
                <w:highlight w:val="green"/>
                <w:lang w:val="en-US" w:eastAsia="zh-CN"/>
              </w:rPr>
              <w:t>相适配。</w:t>
            </w:r>
          </w:p>
        </w:tc>
      </w:tr>
      <w:tr w14:paraId="2110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09196E6F">
            <w:pPr>
              <w:jc w:val="center"/>
              <w:rPr>
                <w:rFonts w:ascii="黑体" w:hAnsi="黑体" w:eastAsia="黑体" w:cs="黑体"/>
                <w:sz w:val="21"/>
                <w:szCs w:val="21"/>
                <w:highlight w:val="none"/>
              </w:rPr>
            </w:pPr>
            <w:r>
              <w:rPr>
                <w:rFonts w:hint="eastAsia" w:ascii="黑体" w:hAnsi="黑体" w:eastAsia="黑体" w:cs="黑体"/>
                <w:sz w:val="21"/>
                <w:szCs w:val="21"/>
                <w:highlight w:val="none"/>
              </w:rPr>
              <w:t>14</w:t>
            </w:r>
          </w:p>
        </w:tc>
        <w:tc>
          <w:tcPr>
            <w:tcW w:w="1182" w:type="dxa"/>
            <w:noWrap/>
            <w:vAlign w:val="center"/>
          </w:tcPr>
          <w:p w14:paraId="1A87E0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环氧乙烷快速生物阅读器</w:t>
            </w:r>
          </w:p>
        </w:tc>
        <w:tc>
          <w:tcPr>
            <w:tcW w:w="1137" w:type="dxa"/>
            <w:noWrap/>
            <w:vAlign w:val="center"/>
          </w:tcPr>
          <w:p w14:paraId="354DC681">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w:t>
            </w:r>
          </w:p>
        </w:tc>
        <w:tc>
          <w:tcPr>
            <w:tcW w:w="500" w:type="dxa"/>
            <w:noWrap/>
            <w:vAlign w:val="center"/>
          </w:tcPr>
          <w:p w14:paraId="58CB14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938" w:type="dxa"/>
            <w:noWrap/>
            <w:vAlign w:val="center"/>
          </w:tcPr>
          <w:p w14:paraId="2D229B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免费使用权</w:t>
            </w:r>
          </w:p>
        </w:tc>
        <w:tc>
          <w:tcPr>
            <w:tcW w:w="850" w:type="dxa"/>
            <w:noWrap/>
            <w:vAlign w:val="center"/>
          </w:tcPr>
          <w:p w14:paraId="7BFA8EA0">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50" w:type="dxa"/>
            <w:noWrap/>
            <w:vAlign w:val="center"/>
          </w:tcPr>
          <w:p w14:paraId="230A9A68">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免费使用权</w:t>
            </w:r>
          </w:p>
        </w:tc>
        <w:tc>
          <w:tcPr>
            <w:tcW w:w="3055" w:type="dxa"/>
            <w:noWrap/>
            <w:vAlign w:val="center"/>
          </w:tcPr>
          <w:p w14:paraId="5AA412D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ascii="宋体" w:hAnsi="宋体" w:eastAsia="宋体" w:cs="宋体"/>
                <w:color w:val="auto"/>
                <w:szCs w:val="21"/>
                <w:highlight w:val="green"/>
              </w:rPr>
              <w:t>1.可实现</w:t>
            </w:r>
            <w:r>
              <w:rPr>
                <w:rFonts w:hint="eastAsia" w:ascii="宋体" w:hAnsi="宋体" w:cs="宋体"/>
                <w:color w:val="auto"/>
                <w:szCs w:val="21"/>
                <w:highlight w:val="green"/>
                <w:lang w:val="en-US" w:eastAsia="zh-CN"/>
              </w:rPr>
              <w:t>4</w:t>
            </w:r>
            <w:r>
              <w:rPr>
                <w:rFonts w:ascii="宋体" w:hAnsi="宋体" w:eastAsia="宋体" w:cs="宋体"/>
                <w:color w:val="auto"/>
                <w:szCs w:val="21"/>
                <w:highlight w:val="green"/>
              </w:rPr>
              <w:t>小时环氧乙烷灭菌生物监测。                  2. 培养时间  阴性≤</w:t>
            </w:r>
            <w:r>
              <w:rPr>
                <w:rFonts w:hint="eastAsia" w:ascii="宋体" w:hAnsi="宋体" w:cs="宋体"/>
                <w:color w:val="auto"/>
                <w:szCs w:val="21"/>
                <w:highlight w:val="green"/>
                <w:lang w:val="en-US" w:eastAsia="zh-CN"/>
              </w:rPr>
              <w:t>4</w:t>
            </w:r>
            <w:r>
              <w:rPr>
                <w:rFonts w:ascii="宋体" w:hAnsi="宋体" w:eastAsia="宋体" w:cs="宋体"/>
                <w:color w:val="auto"/>
                <w:szCs w:val="21"/>
                <w:highlight w:val="green"/>
              </w:rPr>
              <w:t>小时，阳性报警最快30min。</w:t>
            </w:r>
          </w:p>
          <w:p w14:paraId="1340ECC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ascii="宋体" w:hAnsi="宋体" w:eastAsia="宋体" w:cs="宋体"/>
                <w:color w:val="auto"/>
                <w:szCs w:val="21"/>
                <w:highlight w:val="green"/>
              </w:rPr>
              <w:t>3.培养孔数 ≥10个。</w:t>
            </w:r>
          </w:p>
          <w:p w14:paraId="3CBE2EE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hint="eastAsia" w:ascii="宋体" w:hAnsi="宋体" w:cs="宋体"/>
                <w:color w:val="auto"/>
                <w:szCs w:val="21"/>
                <w:highlight w:val="green"/>
                <w:lang w:val="en-US" w:eastAsia="zh-CN"/>
              </w:rPr>
              <w:t>4</w:t>
            </w:r>
            <w:r>
              <w:rPr>
                <w:rFonts w:ascii="宋体" w:hAnsi="宋体" w:eastAsia="宋体" w:cs="宋体"/>
                <w:color w:val="auto"/>
                <w:szCs w:val="21"/>
                <w:highlight w:val="green"/>
              </w:rPr>
              <w:t>.自带防尘罩，起到防尘避光的效果。</w:t>
            </w:r>
          </w:p>
          <w:p w14:paraId="1193862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hint="eastAsia" w:ascii="宋体" w:hAnsi="宋体" w:cs="宋体"/>
                <w:color w:val="auto"/>
                <w:szCs w:val="21"/>
                <w:highlight w:val="green"/>
                <w:lang w:val="en-US" w:eastAsia="zh-CN"/>
              </w:rPr>
              <w:t>5</w:t>
            </w:r>
            <w:r>
              <w:rPr>
                <w:rFonts w:ascii="宋体" w:hAnsi="宋体" w:eastAsia="宋体" w:cs="宋体"/>
                <w:color w:val="auto"/>
                <w:szCs w:val="21"/>
                <w:highlight w:val="green"/>
              </w:rPr>
              <w:t>.听觉和视觉报警，监测到生物培养结束、操作不当、设备故障时，可实时提醒工作人员。</w:t>
            </w:r>
          </w:p>
          <w:p w14:paraId="7B014C2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green"/>
              </w:rPr>
            </w:pPr>
            <w:r>
              <w:rPr>
                <w:rFonts w:hint="eastAsia" w:ascii="宋体" w:hAnsi="宋体" w:cs="宋体"/>
                <w:color w:val="auto"/>
                <w:szCs w:val="21"/>
                <w:highlight w:val="green"/>
                <w:lang w:val="en-US" w:eastAsia="zh-CN"/>
              </w:rPr>
              <w:t>6</w:t>
            </w:r>
            <w:r>
              <w:rPr>
                <w:rFonts w:ascii="宋体" w:hAnsi="宋体" w:eastAsia="宋体" w:cs="宋体"/>
                <w:color w:val="auto"/>
                <w:szCs w:val="21"/>
                <w:highlight w:val="green"/>
              </w:rPr>
              <w:t xml:space="preserve">.可定制添加追溯功能，连接追溯系统。                    </w:t>
            </w:r>
            <w:r>
              <w:rPr>
                <w:rFonts w:hint="eastAsia" w:ascii="宋体" w:hAnsi="宋体" w:cs="宋体"/>
                <w:color w:val="auto"/>
                <w:szCs w:val="21"/>
                <w:highlight w:val="green"/>
                <w:lang w:val="en-US" w:eastAsia="zh-CN"/>
              </w:rPr>
              <w:t>7</w:t>
            </w:r>
            <w:r>
              <w:rPr>
                <w:rFonts w:ascii="宋体" w:hAnsi="宋体" w:eastAsia="宋体" w:cs="宋体"/>
                <w:color w:val="auto"/>
                <w:szCs w:val="21"/>
                <w:highlight w:val="green"/>
              </w:rPr>
              <w:t>.可定期提供温度验证与荧光验证，确保阅读器温度与荧光监测系统的准确性。</w:t>
            </w:r>
          </w:p>
          <w:p w14:paraId="68D1F01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highlight w:val="green"/>
                <w:lang w:val="en-US" w:eastAsia="zh-CN"/>
              </w:rPr>
            </w:pPr>
            <w:r>
              <w:rPr>
                <w:rFonts w:hint="eastAsia" w:ascii="宋体" w:hAnsi="宋体" w:cs="宋体"/>
                <w:color w:val="auto"/>
                <w:szCs w:val="21"/>
                <w:highlight w:val="green"/>
                <w:lang w:val="en-US" w:eastAsia="zh-CN"/>
              </w:rPr>
              <w:t>8</w:t>
            </w:r>
            <w:r>
              <w:rPr>
                <w:rFonts w:hint="eastAsia" w:ascii="宋体" w:hAnsi="宋体" w:eastAsia="宋体" w:cs="宋体"/>
                <w:color w:val="auto"/>
                <w:szCs w:val="21"/>
                <w:highlight w:val="green"/>
                <w:lang w:val="en-US" w:eastAsia="zh-CN"/>
              </w:rPr>
              <w:t>.与所提供的环氧乙烷快速生物测试包相适配。</w:t>
            </w:r>
          </w:p>
        </w:tc>
      </w:tr>
      <w:tr w14:paraId="375A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175047F">
            <w:pPr>
              <w:jc w:val="center"/>
              <w:rPr>
                <w:rFonts w:ascii="黑体" w:hAnsi="黑体" w:eastAsia="黑体" w:cs="黑体"/>
                <w:sz w:val="21"/>
                <w:szCs w:val="21"/>
              </w:rPr>
            </w:pPr>
            <w:r>
              <w:rPr>
                <w:rFonts w:hint="eastAsia" w:ascii="黑体" w:hAnsi="黑体" w:eastAsia="黑体" w:cs="黑体"/>
                <w:sz w:val="21"/>
                <w:szCs w:val="21"/>
              </w:rPr>
              <w:t>15</w:t>
            </w:r>
          </w:p>
        </w:tc>
        <w:tc>
          <w:tcPr>
            <w:tcW w:w="1182" w:type="dxa"/>
            <w:noWrap/>
            <w:vAlign w:val="center"/>
          </w:tcPr>
          <w:p w14:paraId="4681D24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医疗器械黄斑清洗剂</w:t>
            </w:r>
          </w:p>
        </w:tc>
        <w:tc>
          <w:tcPr>
            <w:tcW w:w="1137" w:type="dxa"/>
            <w:noWrap/>
            <w:vAlign w:val="center"/>
          </w:tcPr>
          <w:p w14:paraId="2F141533">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6F9B0339">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升</w:t>
            </w:r>
          </w:p>
        </w:tc>
        <w:tc>
          <w:tcPr>
            <w:tcW w:w="938" w:type="dxa"/>
            <w:noWrap/>
            <w:vAlign w:val="center"/>
          </w:tcPr>
          <w:p w14:paraId="1D851753">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w:t>
            </w:r>
          </w:p>
        </w:tc>
        <w:tc>
          <w:tcPr>
            <w:tcW w:w="850" w:type="dxa"/>
            <w:noWrap/>
            <w:vAlign w:val="center"/>
          </w:tcPr>
          <w:p w14:paraId="010FA35E">
            <w:pPr>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50" w:type="dxa"/>
            <w:noWrap/>
            <w:vAlign w:val="center"/>
          </w:tcPr>
          <w:p w14:paraId="6F8208EE">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1340</w:t>
            </w:r>
          </w:p>
        </w:tc>
        <w:tc>
          <w:tcPr>
            <w:tcW w:w="3055" w:type="dxa"/>
            <w:noWrap/>
            <w:vAlign w:val="center"/>
          </w:tcPr>
          <w:p w14:paraId="287989D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1.产品由有机酸、无机酸、螯合剂、缓蚀剂、表面活性剂、水等组成</w:t>
            </w:r>
            <w:r>
              <w:rPr>
                <w:rFonts w:hint="eastAsia" w:ascii="宋体" w:hAnsi="宋体" w:eastAsia="宋体" w:cs="宋体"/>
                <w:color w:val="auto"/>
                <w:szCs w:val="21"/>
                <w:lang w:eastAsia="zh-CN"/>
              </w:rPr>
              <w:t>。</w:t>
            </w:r>
          </w:p>
          <w:p w14:paraId="6C1F2AD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2.强渗透性，去除黄斑速度≤30min，常温浸泡无需加热。</w:t>
            </w:r>
          </w:p>
          <w:p w14:paraId="6B3D0D1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3.专用于去除弯盘、换药碗等不锈钢医疗器械表面的黄褐色斑纹</w:t>
            </w:r>
            <w:r>
              <w:rPr>
                <w:rFonts w:hint="eastAsia" w:ascii="宋体" w:hAnsi="宋体" w:eastAsia="宋体" w:cs="宋体"/>
                <w:color w:val="auto"/>
                <w:szCs w:val="21"/>
                <w:lang w:eastAsia="zh-CN"/>
              </w:rPr>
              <w:t>。</w:t>
            </w:r>
          </w:p>
          <w:p w14:paraId="2E56C0B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4</w:t>
            </w:r>
            <w:r>
              <w:rPr>
                <w:rFonts w:ascii="宋体" w:hAnsi="宋体" w:eastAsia="宋体" w:cs="宋体"/>
                <w:color w:val="auto"/>
                <w:szCs w:val="21"/>
              </w:rPr>
              <w:t>.有效期至少为2年。</w:t>
            </w:r>
          </w:p>
        </w:tc>
      </w:tr>
      <w:tr w14:paraId="780E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51CF8F9">
            <w:pPr>
              <w:jc w:val="center"/>
              <w:rPr>
                <w:rFonts w:ascii="黑体" w:hAnsi="黑体" w:eastAsia="黑体" w:cs="黑体"/>
                <w:sz w:val="21"/>
                <w:szCs w:val="21"/>
              </w:rPr>
            </w:pPr>
            <w:r>
              <w:rPr>
                <w:rFonts w:hint="eastAsia" w:ascii="黑体" w:hAnsi="黑体" w:eastAsia="黑体" w:cs="黑体"/>
                <w:sz w:val="21"/>
                <w:szCs w:val="21"/>
              </w:rPr>
              <w:t>16</w:t>
            </w:r>
          </w:p>
        </w:tc>
        <w:tc>
          <w:tcPr>
            <w:tcW w:w="1182" w:type="dxa"/>
            <w:noWrap/>
            <w:vAlign w:val="center"/>
          </w:tcPr>
          <w:p w14:paraId="78610D4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医疗器械喷雾型润滑防锈剂</w:t>
            </w:r>
          </w:p>
        </w:tc>
        <w:tc>
          <w:tcPr>
            <w:tcW w:w="1137" w:type="dxa"/>
            <w:noWrap/>
            <w:vAlign w:val="center"/>
          </w:tcPr>
          <w:p w14:paraId="14F912F7">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7A4D2746">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瓶</w:t>
            </w:r>
          </w:p>
        </w:tc>
        <w:tc>
          <w:tcPr>
            <w:tcW w:w="938" w:type="dxa"/>
            <w:noWrap/>
            <w:vAlign w:val="center"/>
          </w:tcPr>
          <w:p w14:paraId="77B47113">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850" w:type="dxa"/>
            <w:noWrap/>
            <w:vAlign w:val="center"/>
          </w:tcPr>
          <w:p w14:paraId="22CCAD12">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noWrap/>
            <w:vAlign w:val="center"/>
          </w:tcPr>
          <w:p w14:paraId="273B992C">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1150</w:t>
            </w:r>
          </w:p>
        </w:tc>
        <w:tc>
          <w:tcPr>
            <w:tcW w:w="3055" w:type="dxa"/>
            <w:noWrap/>
            <w:vAlign w:val="center"/>
          </w:tcPr>
          <w:p w14:paraId="6264BFD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1.产品应为医用水溶性润滑剂</w:t>
            </w:r>
            <w:r>
              <w:rPr>
                <w:rFonts w:hint="eastAsia" w:ascii="宋体" w:hAnsi="宋体" w:eastAsia="宋体" w:cs="宋体"/>
                <w:color w:val="auto"/>
                <w:szCs w:val="21"/>
                <w:lang w:eastAsia="zh-CN"/>
              </w:rPr>
              <w:t>。</w:t>
            </w:r>
          </w:p>
          <w:p w14:paraId="251EB55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2.产品清澈透明、不分层、无悬浮物、无沉淀、无异味、无色</w:t>
            </w:r>
            <w:r>
              <w:rPr>
                <w:rFonts w:hint="eastAsia" w:ascii="宋体" w:hAnsi="宋体" w:eastAsia="宋体" w:cs="宋体"/>
                <w:color w:val="auto"/>
                <w:szCs w:val="21"/>
                <w:lang w:eastAsia="zh-CN"/>
              </w:rPr>
              <w:t>。</w:t>
            </w:r>
          </w:p>
          <w:p w14:paraId="7589D8D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3.用于检查打包时对医疗器械进行补充润滑防锈</w:t>
            </w:r>
            <w:r>
              <w:rPr>
                <w:rFonts w:hint="eastAsia" w:ascii="宋体" w:hAnsi="宋体" w:eastAsia="宋体" w:cs="宋体"/>
                <w:color w:val="auto"/>
                <w:szCs w:val="21"/>
                <w:lang w:eastAsia="zh-CN"/>
              </w:rPr>
              <w:t>。</w:t>
            </w:r>
          </w:p>
          <w:p w14:paraId="0E64BAC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hint="eastAsia" w:ascii="宋体" w:hAnsi="宋体" w:cs="宋体"/>
                <w:color w:val="auto"/>
                <w:szCs w:val="21"/>
                <w:lang w:val="en-US" w:eastAsia="zh-CN"/>
              </w:rPr>
              <w:t>4</w:t>
            </w:r>
            <w:r>
              <w:rPr>
                <w:rFonts w:ascii="宋体" w:hAnsi="宋体" w:eastAsia="宋体" w:cs="宋体"/>
                <w:color w:val="auto"/>
                <w:szCs w:val="21"/>
              </w:rPr>
              <w:t>.对不锈钢、铜、铝、碳钢等各种器械材质的腐蚀级别均为基本无腐蚀，并提供第三方检测报告。</w:t>
            </w:r>
          </w:p>
          <w:p w14:paraId="5C40FD3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eastAsia="宋体" w:cs="宋体"/>
                <w:color w:val="auto"/>
                <w:sz w:val="24"/>
                <w:szCs w:val="24"/>
              </w:rPr>
              <w:t>■</w:t>
            </w:r>
            <w:r>
              <w:rPr>
                <w:rFonts w:hint="eastAsia" w:ascii="宋体" w:hAnsi="宋体" w:cs="宋体"/>
                <w:color w:val="auto"/>
                <w:szCs w:val="21"/>
                <w:lang w:val="en-US" w:eastAsia="zh-CN"/>
              </w:rPr>
              <w:t>5</w:t>
            </w:r>
            <w:r>
              <w:rPr>
                <w:rFonts w:ascii="宋体" w:hAnsi="宋体" w:eastAsia="宋体" w:cs="宋体"/>
                <w:color w:val="auto"/>
                <w:szCs w:val="21"/>
              </w:rPr>
              <w:t>.产品不含荧光增白剂，甲醇含量＜1mg/g，甲醛含量＜0.1mg/g，砷含量（1%溶液中以砷计）＜0.05mg/kg，重金属含量（1%溶液中以铅计）＜1mg/kg，并提供第三方检测报告</w:t>
            </w:r>
            <w:r>
              <w:rPr>
                <w:rFonts w:hint="eastAsia" w:ascii="宋体" w:hAnsi="宋体" w:eastAsia="宋体" w:cs="宋体"/>
                <w:color w:val="auto"/>
                <w:szCs w:val="21"/>
                <w:lang w:eastAsia="zh-CN"/>
              </w:rPr>
              <w:t>。</w:t>
            </w:r>
          </w:p>
          <w:p w14:paraId="61F9528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r>
              <w:rPr>
                <w:rFonts w:ascii="宋体" w:hAnsi="宋体" w:eastAsia="宋体" w:cs="宋体"/>
                <w:color w:val="auto"/>
                <w:szCs w:val="21"/>
              </w:rPr>
              <w:t>. 产品低温试验（-10℃）无结晶、无沉淀</w:t>
            </w:r>
            <w:r>
              <w:rPr>
                <w:rFonts w:hint="eastAsia" w:ascii="宋体" w:hAnsi="宋体" w:eastAsia="宋体" w:cs="宋体"/>
                <w:color w:val="auto"/>
                <w:szCs w:val="21"/>
                <w:lang w:eastAsia="zh-CN"/>
              </w:rPr>
              <w:t>。</w:t>
            </w:r>
            <w:r>
              <w:rPr>
                <w:rFonts w:ascii="宋体" w:hAnsi="宋体" w:eastAsia="宋体" w:cs="宋体"/>
                <w:color w:val="auto"/>
                <w:szCs w:val="21"/>
              </w:rPr>
              <w:t>高温试验（40℃）不分层、不混浊、且不改变气味，并提供第三方检测报告</w:t>
            </w:r>
            <w:r>
              <w:rPr>
                <w:rFonts w:hint="eastAsia" w:ascii="宋体" w:hAnsi="宋体" w:eastAsia="宋体" w:cs="宋体"/>
                <w:color w:val="auto"/>
                <w:szCs w:val="21"/>
                <w:lang w:eastAsia="zh-CN"/>
              </w:rPr>
              <w:t>。</w:t>
            </w:r>
          </w:p>
          <w:p w14:paraId="03DEF7B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ascii="宋体" w:hAnsi="宋体" w:eastAsia="宋体" w:cs="宋体"/>
                <w:color w:val="auto"/>
                <w:szCs w:val="21"/>
              </w:rPr>
              <w:t>.产品表面活性剂降解度应≥90%，并提供第三方检测报告</w:t>
            </w:r>
            <w:r>
              <w:rPr>
                <w:rFonts w:hint="eastAsia" w:ascii="宋体" w:hAnsi="宋体" w:eastAsia="宋体" w:cs="宋体"/>
                <w:color w:val="auto"/>
                <w:szCs w:val="21"/>
                <w:lang w:eastAsia="zh-CN"/>
              </w:rPr>
              <w:t>。</w:t>
            </w:r>
          </w:p>
          <w:p w14:paraId="7ABB476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r>
              <w:rPr>
                <w:rFonts w:ascii="宋体" w:hAnsi="宋体" w:eastAsia="宋体" w:cs="宋体"/>
                <w:color w:val="auto"/>
                <w:szCs w:val="21"/>
              </w:rPr>
              <w:t>.产品细菌菌落总数＜100CFU/mL，并提供第三方检测报告</w:t>
            </w:r>
            <w:r>
              <w:rPr>
                <w:rFonts w:hint="eastAsia" w:ascii="宋体" w:hAnsi="宋体" w:eastAsia="宋体" w:cs="宋体"/>
                <w:color w:val="auto"/>
                <w:szCs w:val="21"/>
                <w:lang w:eastAsia="zh-CN"/>
              </w:rPr>
              <w:t>。</w:t>
            </w:r>
          </w:p>
          <w:p w14:paraId="094993F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9</w:t>
            </w:r>
            <w:r>
              <w:rPr>
                <w:rFonts w:ascii="宋体" w:hAnsi="宋体" w:eastAsia="宋体" w:cs="宋体"/>
                <w:color w:val="auto"/>
                <w:szCs w:val="21"/>
              </w:rPr>
              <w:t>.急性经口毒性为实际无毒、对皮肤无刺激、不引起皮肤变态反应，并出具第三方毒理性检测报告。</w:t>
            </w:r>
          </w:p>
        </w:tc>
      </w:tr>
      <w:tr w14:paraId="2691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6CFEAB4">
            <w:pPr>
              <w:jc w:val="center"/>
              <w:rPr>
                <w:rFonts w:ascii="黑体" w:hAnsi="黑体" w:eastAsia="黑体" w:cs="黑体"/>
                <w:sz w:val="21"/>
                <w:szCs w:val="21"/>
              </w:rPr>
            </w:pPr>
            <w:r>
              <w:rPr>
                <w:rFonts w:hint="eastAsia" w:ascii="黑体" w:hAnsi="黑体" w:eastAsia="黑体" w:cs="黑体"/>
                <w:sz w:val="21"/>
                <w:szCs w:val="21"/>
              </w:rPr>
              <w:t>17</w:t>
            </w:r>
          </w:p>
        </w:tc>
        <w:tc>
          <w:tcPr>
            <w:tcW w:w="1182" w:type="dxa"/>
            <w:noWrap/>
            <w:vAlign w:val="center"/>
          </w:tcPr>
          <w:p w14:paraId="75A0970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清洗效果监测卡</w:t>
            </w:r>
          </w:p>
        </w:tc>
        <w:tc>
          <w:tcPr>
            <w:tcW w:w="1137" w:type="dxa"/>
            <w:noWrap/>
            <w:vAlign w:val="center"/>
          </w:tcPr>
          <w:p w14:paraId="7D96B17D">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0A56ABAC">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片</w:t>
            </w:r>
          </w:p>
        </w:tc>
        <w:tc>
          <w:tcPr>
            <w:tcW w:w="938" w:type="dxa"/>
            <w:noWrap/>
            <w:vAlign w:val="center"/>
          </w:tcPr>
          <w:p w14:paraId="4D412398">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850" w:type="dxa"/>
            <w:noWrap/>
            <w:vAlign w:val="center"/>
          </w:tcPr>
          <w:p w14:paraId="0D691A96">
            <w:pPr>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850" w:type="dxa"/>
            <w:noWrap/>
            <w:vAlign w:val="center"/>
          </w:tcPr>
          <w:p w14:paraId="4B03459C">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900</w:t>
            </w:r>
          </w:p>
        </w:tc>
        <w:tc>
          <w:tcPr>
            <w:tcW w:w="3055" w:type="dxa"/>
            <w:noWrap/>
            <w:vAlign w:val="center"/>
          </w:tcPr>
          <w:p w14:paraId="2030EE7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1.产品由不干胶载体和模拟污染物的油墨以及A0指示油墨组成。</w:t>
            </w:r>
          </w:p>
          <w:p w14:paraId="5087DE2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hint="eastAsia" w:ascii="宋体" w:hAnsi="宋体" w:cs="宋体"/>
                <w:color w:val="auto"/>
                <w:szCs w:val="21"/>
                <w:lang w:val="en-US" w:eastAsia="zh-CN"/>
              </w:rPr>
              <w:t>2.</w:t>
            </w:r>
            <w:r>
              <w:rPr>
                <w:rFonts w:ascii="宋体" w:hAnsi="宋体" w:eastAsia="宋体" w:cs="宋体"/>
                <w:color w:val="auto"/>
                <w:szCs w:val="21"/>
              </w:rPr>
              <w:t>产品能够合理监测全自动喷淋清洗消毒器和清洗剂的协同清洗能力，能检测清洗消毒器的A0值。</w:t>
            </w:r>
          </w:p>
        </w:tc>
      </w:tr>
      <w:tr w14:paraId="0659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508FCF7">
            <w:pPr>
              <w:jc w:val="center"/>
              <w:rPr>
                <w:rFonts w:ascii="黑体" w:hAnsi="黑体" w:eastAsia="黑体" w:cs="黑体"/>
                <w:sz w:val="21"/>
                <w:szCs w:val="21"/>
              </w:rPr>
            </w:pPr>
            <w:r>
              <w:rPr>
                <w:rFonts w:hint="eastAsia" w:ascii="黑体" w:hAnsi="黑体" w:eastAsia="黑体" w:cs="黑体"/>
                <w:sz w:val="21"/>
                <w:szCs w:val="21"/>
              </w:rPr>
              <w:t>18</w:t>
            </w:r>
          </w:p>
        </w:tc>
        <w:tc>
          <w:tcPr>
            <w:tcW w:w="1182" w:type="dxa"/>
            <w:noWrap/>
            <w:vAlign w:val="center"/>
          </w:tcPr>
          <w:p w14:paraId="56307DE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锐器保护套</w:t>
            </w:r>
          </w:p>
        </w:tc>
        <w:tc>
          <w:tcPr>
            <w:tcW w:w="1137" w:type="dxa"/>
            <w:noWrap/>
            <w:vAlign w:val="center"/>
          </w:tcPr>
          <w:p w14:paraId="7ECDC9E6">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w:t>
            </w:r>
          </w:p>
        </w:tc>
        <w:tc>
          <w:tcPr>
            <w:tcW w:w="500" w:type="dxa"/>
            <w:noWrap/>
            <w:vAlign w:val="center"/>
          </w:tcPr>
          <w:p w14:paraId="275DD3E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w:t>
            </w:r>
          </w:p>
        </w:tc>
        <w:tc>
          <w:tcPr>
            <w:tcW w:w="938" w:type="dxa"/>
            <w:noWrap/>
            <w:vAlign w:val="center"/>
          </w:tcPr>
          <w:p w14:paraId="6B34D7A3">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850" w:type="dxa"/>
            <w:noWrap/>
            <w:vAlign w:val="center"/>
          </w:tcPr>
          <w:p w14:paraId="6EB9EFDA">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500</w:t>
            </w:r>
          </w:p>
        </w:tc>
        <w:tc>
          <w:tcPr>
            <w:tcW w:w="850" w:type="dxa"/>
            <w:noWrap/>
            <w:vAlign w:val="center"/>
          </w:tcPr>
          <w:p w14:paraId="0F92336B">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w:t>
            </w:r>
          </w:p>
        </w:tc>
        <w:tc>
          <w:tcPr>
            <w:tcW w:w="3055" w:type="dxa"/>
            <w:noWrap/>
            <w:vAlign w:val="center"/>
          </w:tcPr>
          <w:p w14:paraId="6B35404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1.食用级硅胶，使用过程洁净、安全。</w:t>
            </w:r>
          </w:p>
          <w:p w14:paraId="308180F1">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2.独特的内置X光显影线设计，便于显影查找。</w:t>
            </w:r>
          </w:p>
          <w:p w14:paraId="67F4CB2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3.方便器械套穿，简单、高效。</w:t>
            </w:r>
          </w:p>
          <w:p w14:paraId="45A5C01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4.耐高温、韧性强、不易损坏，可用于压力蒸汽、环氧乙烷、低温蒸汽甲醛灭菌。</w:t>
            </w:r>
          </w:p>
          <w:p w14:paraId="06D6B69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ascii="宋体" w:hAnsi="宋体" w:eastAsia="宋体" w:cs="宋体"/>
                <w:color w:val="auto"/>
                <w:szCs w:val="21"/>
              </w:rPr>
              <w:t>5.内凹槽、外凸起设计，既牢固安全，又便于灭菌介质流通。</w:t>
            </w:r>
          </w:p>
        </w:tc>
      </w:tr>
      <w:tr w14:paraId="7A75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AB7CCC7">
            <w:pPr>
              <w:jc w:val="center"/>
              <w:rPr>
                <w:rFonts w:ascii="黑体" w:hAnsi="黑体" w:eastAsia="黑体" w:cs="黑体"/>
                <w:sz w:val="21"/>
                <w:szCs w:val="21"/>
                <w:highlight w:val="none"/>
              </w:rPr>
            </w:pPr>
            <w:r>
              <w:rPr>
                <w:rFonts w:hint="eastAsia" w:ascii="黑体" w:hAnsi="黑体" w:eastAsia="黑体" w:cs="黑体"/>
                <w:sz w:val="21"/>
                <w:szCs w:val="21"/>
                <w:highlight w:val="none"/>
              </w:rPr>
              <w:t>19</w:t>
            </w:r>
          </w:p>
        </w:tc>
        <w:tc>
          <w:tcPr>
            <w:tcW w:w="1182" w:type="dxa"/>
            <w:noWrap/>
            <w:vAlign w:val="center"/>
          </w:tcPr>
          <w:p w14:paraId="0CC9C779">
            <w:pPr>
              <w:widowControl/>
              <w:jc w:val="center"/>
              <w:textAlignment w:val="center"/>
              <w:rPr>
                <w:rFonts w:hint="eastAsia" w:ascii="宋体" w:hAnsi="宋体" w:eastAsia="宋体" w:cs="宋体"/>
                <w:color w:val="auto"/>
                <w:sz w:val="21"/>
                <w:szCs w:val="21"/>
                <w:highlight w:val="none"/>
                <w:lang w:eastAsia="zh-CN"/>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25E9E78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宽75mm</w:t>
            </w:r>
          </w:p>
        </w:tc>
        <w:tc>
          <w:tcPr>
            <w:tcW w:w="500" w:type="dxa"/>
            <w:noWrap/>
            <w:vAlign w:val="center"/>
          </w:tcPr>
          <w:p w14:paraId="19E358F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7F432C3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w:t>
            </w:r>
          </w:p>
        </w:tc>
        <w:tc>
          <w:tcPr>
            <w:tcW w:w="850" w:type="dxa"/>
            <w:noWrap/>
            <w:vAlign w:val="center"/>
          </w:tcPr>
          <w:p w14:paraId="356C6EA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850" w:type="dxa"/>
            <w:noWrap/>
            <w:vAlign w:val="center"/>
          </w:tcPr>
          <w:p w14:paraId="511D3212">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3200</w:t>
            </w:r>
          </w:p>
        </w:tc>
        <w:tc>
          <w:tcPr>
            <w:tcW w:w="3055" w:type="dxa"/>
            <w:vMerge w:val="restart"/>
            <w:noWrap/>
            <w:vAlign w:val="center"/>
          </w:tcPr>
          <w:p w14:paraId="15F8A5C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1.含有压力蒸汽、环氧乙烷、甲醛灭菌监测指示物，单个指示物面积≥100㎟</w:t>
            </w:r>
            <w:r>
              <w:rPr>
                <w:rFonts w:hint="eastAsia" w:ascii="宋体" w:hAnsi="宋体" w:cs="宋体"/>
                <w:color w:val="auto"/>
                <w:szCs w:val="21"/>
                <w:highlight w:val="none"/>
                <w:lang w:eastAsia="zh-CN"/>
              </w:rPr>
              <w:t>。</w:t>
            </w:r>
          </w:p>
          <w:p w14:paraId="365598B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Cs w:val="21"/>
                <w:highlight w:val="none"/>
                <w:lang w:val="en-US" w:eastAsia="zh-CN"/>
              </w:rPr>
              <w:t>2.</w:t>
            </w:r>
            <w:r>
              <w:rPr>
                <w:rFonts w:ascii="宋体" w:hAnsi="宋体" w:eastAsia="宋体" w:cs="宋体"/>
                <w:color w:val="auto"/>
                <w:szCs w:val="21"/>
                <w:highlight w:val="none"/>
              </w:rPr>
              <w:t>提供卫生安全评价报告，检测项目包含微生物屏障性能、灭菌因子穿透性能、灭菌后180天无菌有效期验证及灭菌因子残留</w:t>
            </w:r>
            <w:r>
              <w:rPr>
                <w:rFonts w:hint="eastAsia" w:ascii="宋体" w:hAnsi="宋体" w:eastAsia="宋体" w:cs="宋体"/>
                <w:color w:val="auto"/>
                <w:szCs w:val="21"/>
                <w:highlight w:val="none"/>
                <w:lang w:eastAsia="zh-CN"/>
              </w:rPr>
              <w:t>。</w:t>
            </w:r>
          </w:p>
          <w:p w14:paraId="7EE04AC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.塑料材质管芯，避免纸屑污染</w:t>
            </w:r>
          </w:p>
          <w:p w14:paraId="03A5949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.纸质部分≥70g/㎡</w:t>
            </w:r>
            <w:r>
              <w:rPr>
                <w:rFonts w:hint="eastAsia" w:ascii="宋体" w:hAnsi="宋体" w:eastAsia="宋体" w:cs="宋体"/>
                <w:color w:val="auto"/>
                <w:szCs w:val="21"/>
                <w:highlight w:val="none"/>
                <w:lang w:eastAsia="zh-CN"/>
              </w:rPr>
              <w:t>。</w:t>
            </w:r>
          </w:p>
        </w:tc>
      </w:tr>
      <w:tr w14:paraId="56C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0D650095">
            <w:pPr>
              <w:jc w:val="center"/>
              <w:rPr>
                <w:rFonts w:ascii="黑体" w:hAnsi="黑体" w:eastAsia="黑体" w:cs="黑体"/>
                <w:sz w:val="21"/>
                <w:szCs w:val="21"/>
                <w:highlight w:val="none"/>
              </w:rPr>
            </w:pPr>
            <w:r>
              <w:rPr>
                <w:rFonts w:hint="eastAsia" w:ascii="黑体" w:hAnsi="黑体" w:eastAsia="黑体" w:cs="黑体"/>
                <w:sz w:val="21"/>
                <w:szCs w:val="21"/>
                <w:highlight w:val="none"/>
              </w:rPr>
              <w:t>20</w:t>
            </w:r>
          </w:p>
        </w:tc>
        <w:tc>
          <w:tcPr>
            <w:tcW w:w="1182" w:type="dxa"/>
            <w:noWrap/>
            <w:vAlign w:val="center"/>
          </w:tcPr>
          <w:p w14:paraId="5E1CDBB8">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2EADE93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宽100mm</w:t>
            </w:r>
          </w:p>
        </w:tc>
        <w:tc>
          <w:tcPr>
            <w:tcW w:w="500" w:type="dxa"/>
            <w:noWrap/>
            <w:vAlign w:val="center"/>
          </w:tcPr>
          <w:p w14:paraId="4E44A2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5B4BC69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w:t>
            </w:r>
          </w:p>
        </w:tc>
        <w:tc>
          <w:tcPr>
            <w:tcW w:w="850" w:type="dxa"/>
            <w:noWrap/>
            <w:vAlign w:val="center"/>
          </w:tcPr>
          <w:p w14:paraId="5A999C28">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50" w:type="dxa"/>
            <w:noWrap/>
            <w:vAlign w:val="center"/>
          </w:tcPr>
          <w:p w14:paraId="7667872D">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2400</w:t>
            </w:r>
          </w:p>
        </w:tc>
        <w:tc>
          <w:tcPr>
            <w:tcW w:w="3055" w:type="dxa"/>
            <w:vMerge w:val="continue"/>
            <w:noWrap/>
            <w:vAlign w:val="center"/>
          </w:tcPr>
          <w:p w14:paraId="2136570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2F2D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F50975F">
            <w:pPr>
              <w:jc w:val="center"/>
              <w:rPr>
                <w:rFonts w:ascii="黑体" w:hAnsi="黑体" w:eastAsia="黑体" w:cs="黑体"/>
                <w:sz w:val="21"/>
                <w:szCs w:val="21"/>
                <w:highlight w:val="none"/>
              </w:rPr>
            </w:pPr>
            <w:r>
              <w:rPr>
                <w:rFonts w:hint="eastAsia" w:ascii="黑体" w:hAnsi="黑体" w:eastAsia="黑体" w:cs="黑体"/>
                <w:sz w:val="21"/>
                <w:szCs w:val="21"/>
                <w:highlight w:val="none"/>
              </w:rPr>
              <w:t>21</w:t>
            </w:r>
          </w:p>
        </w:tc>
        <w:tc>
          <w:tcPr>
            <w:tcW w:w="1182" w:type="dxa"/>
            <w:noWrap/>
            <w:vAlign w:val="center"/>
          </w:tcPr>
          <w:p w14:paraId="491C9FAC">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657138F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宽150mm</w:t>
            </w:r>
          </w:p>
        </w:tc>
        <w:tc>
          <w:tcPr>
            <w:tcW w:w="500" w:type="dxa"/>
            <w:noWrap/>
            <w:vAlign w:val="center"/>
          </w:tcPr>
          <w:p w14:paraId="67F6CB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1EFA617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280</w:t>
            </w:r>
          </w:p>
        </w:tc>
        <w:tc>
          <w:tcPr>
            <w:tcW w:w="850" w:type="dxa"/>
            <w:noWrap/>
            <w:vAlign w:val="center"/>
          </w:tcPr>
          <w:p w14:paraId="4A42E30F">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50" w:type="dxa"/>
            <w:noWrap/>
            <w:vAlign w:val="center"/>
          </w:tcPr>
          <w:p w14:paraId="37821DF4">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3360</w:t>
            </w:r>
          </w:p>
        </w:tc>
        <w:tc>
          <w:tcPr>
            <w:tcW w:w="3055" w:type="dxa"/>
            <w:vMerge w:val="continue"/>
            <w:noWrap/>
            <w:vAlign w:val="center"/>
          </w:tcPr>
          <w:p w14:paraId="5C2CF02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4493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67354A2D">
            <w:pPr>
              <w:jc w:val="center"/>
              <w:rPr>
                <w:rFonts w:ascii="黑体" w:hAnsi="黑体" w:eastAsia="黑体" w:cs="黑体"/>
                <w:sz w:val="21"/>
                <w:szCs w:val="21"/>
                <w:highlight w:val="none"/>
              </w:rPr>
            </w:pPr>
            <w:r>
              <w:rPr>
                <w:rFonts w:hint="eastAsia" w:ascii="黑体" w:hAnsi="黑体" w:eastAsia="黑体" w:cs="黑体"/>
                <w:sz w:val="21"/>
                <w:szCs w:val="21"/>
                <w:highlight w:val="none"/>
              </w:rPr>
              <w:t>22</w:t>
            </w:r>
          </w:p>
        </w:tc>
        <w:tc>
          <w:tcPr>
            <w:tcW w:w="1182" w:type="dxa"/>
            <w:noWrap/>
            <w:vAlign w:val="center"/>
          </w:tcPr>
          <w:p w14:paraId="6C296614">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7EFFA05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宽200mm</w:t>
            </w:r>
          </w:p>
        </w:tc>
        <w:tc>
          <w:tcPr>
            <w:tcW w:w="500" w:type="dxa"/>
            <w:noWrap/>
            <w:vAlign w:val="center"/>
          </w:tcPr>
          <w:p w14:paraId="53FEAE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702A527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390</w:t>
            </w:r>
          </w:p>
        </w:tc>
        <w:tc>
          <w:tcPr>
            <w:tcW w:w="850" w:type="dxa"/>
            <w:noWrap/>
            <w:vAlign w:val="center"/>
          </w:tcPr>
          <w:p w14:paraId="441B33D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50" w:type="dxa"/>
            <w:noWrap/>
            <w:vAlign w:val="center"/>
          </w:tcPr>
          <w:p w14:paraId="309E1332">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1950</w:t>
            </w:r>
          </w:p>
        </w:tc>
        <w:tc>
          <w:tcPr>
            <w:tcW w:w="3055" w:type="dxa"/>
            <w:vMerge w:val="continue"/>
            <w:noWrap/>
            <w:vAlign w:val="center"/>
          </w:tcPr>
          <w:p w14:paraId="6D6B772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4231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85515A7">
            <w:pPr>
              <w:jc w:val="center"/>
              <w:rPr>
                <w:rFonts w:ascii="黑体" w:hAnsi="黑体" w:eastAsia="黑体" w:cs="黑体"/>
                <w:sz w:val="21"/>
                <w:szCs w:val="21"/>
                <w:highlight w:val="none"/>
              </w:rPr>
            </w:pPr>
            <w:r>
              <w:rPr>
                <w:rFonts w:hint="eastAsia" w:ascii="黑体" w:hAnsi="黑体" w:eastAsia="黑体" w:cs="黑体"/>
                <w:sz w:val="21"/>
                <w:szCs w:val="21"/>
                <w:highlight w:val="none"/>
              </w:rPr>
              <w:t>23</w:t>
            </w:r>
          </w:p>
        </w:tc>
        <w:tc>
          <w:tcPr>
            <w:tcW w:w="1182" w:type="dxa"/>
            <w:noWrap/>
            <w:vAlign w:val="center"/>
          </w:tcPr>
          <w:p w14:paraId="0C1DAB9F">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w:t>
            </w:r>
            <w:r>
              <w:rPr>
                <w:rStyle w:val="30"/>
                <w:rFonts w:hint="eastAsia" w:ascii="宋体" w:hAnsi="宋体" w:cs="宋体"/>
                <w:color w:val="auto"/>
                <w:sz w:val="21"/>
                <w:szCs w:val="21"/>
                <w:highlight w:val="none"/>
                <w:lang w:eastAsia="zh-CN"/>
              </w:rPr>
              <w:t>卷袋）</w:t>
            </w:r>
          </w:p>
        </w:tc>
        <w:tc>
          <w:tcPr>
            <w:tcW w:w="1137" w:type="dxa"/>
            <w:noWrap/>
            <w:vAlign w:val="center"/>
          </w:tcPr>
          <w:p w14:paraId="5A77979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宽300mm</w:t>
            </w:r>
          </w:p>
        </w:tc>
        <w:tc>
          <w:tcPr>
            <w:tcW w:w="500" w:type="dxa"/>
            <w:noWrap/>
            <w:vAlign w:val="center"/>
          </w:tcPr>
          <w:p w14:paraId="6AB737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938" w:type="dxa"/>
            <w:noWrap/>
            <w:vAlign w:val="center"/>
          </w:tcPr>
          <w:p w14:paraId="51CE39F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530</w:t>
            </w:r>
          </w:p>
        </w:tc>
        <w:tc>
          <w:tcPr>
            <w:tcW w:w="850" w:type="dxa"/>
            <w:noWrap/>
            <w:vAlign w:val="center"/>
          </w:tcPr>
          <w:p w14:paraId="0A48ACEF">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50" w:type="dxa"/>
            <w:noWrap/>
            <w:vAlign w:val="center"/>
          </w:tcPr>
          <w:p w14:paraId="528C37EE">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1060</w:t>
            </w:r>
          </w:p>
        </w:tc>
        <w:tc>
          <w:tcPr>
            <w:tcW w:w="3055" w:type="dxa"/>
            <w:vMerge w:val="continue"/>
            <w:noWrap/>
            <w:vAlign w:val="center"/>
          </w:tcPr>
          <w:p w14:paraId="6ACF7D9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116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DF5B4C5">
            <w:pPr>
              <w:jc w:val="center"/>
              <w:rPr>
                <w:rFonts w:ascii="黑体" w:hAnsi="黑体" w:eastAsia="黑体" w:cs="黑体"/>
                <w:sz w:val="21"/>
                <w:szCs w:val="21"/>
                <w:highlight w:val="none"/>
              </w:rPr>
            </w:pPr>
            <w:r>
              <w:rPr>
                <w:rFonts w:hint="eastAsia" w:ascii="黑体" w:hAnsi="黑体" w:eastAsia="黑体" w:cs="黑体"/>
                <w:sz w:val="21"/>
                <w:szCs w:val="21"/>
                <w:highlight w:val="none"/>
              </w:rPr>
              <w:t>24</w:t>
            </w:r>
          </w:p>
        </w:tc>
        <w:tc>
          <w:tcPr>
            <w:tcW w:w="1182" w:type="dxa"/>
            <w:noWrap/>
            <w:vAlign w:val="center"/>
          </w:tcPr>
          <w:p w14:paraId="693B1178">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39629785">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200*400mm</w:t>
            </w:r>
          </w:p>
        </w:tc>
        <w:tc>
          <w:tcPr>
            <w:tcW w:w="500" w:type="dxa"/>
            <w:noWrap/>
            <w:vAlign w:val="center"/>
          </w:tcPr>
          <w:p w14:paraId="711E53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03BE319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50" w:type="dxa"/>
            <w:noWrap/>
            <w:vAlign w:val="center"/>
          </w:tcPr>
          <w:p w14:paraId="77B29FF4">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6000</w:t>
            </w:r>
          </w:p>
        </w:tc>
        <w:tc>
          <w:tcPr>
            <w:tcW w:w="850" w:type="dxa"/>
            <w:noWrap/>
            <w:vAlign w:val="center"/>
          </w:tcPr>
          <w:p w14:paraId="0564B35C">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6600</w:t>
            </w:r>
          </w:p>
        </w:tc>
        <w:tc>
          <w:tcPr>
            <w:tcW w:w="3055" w:type="dxa"/>
            <w:vMerge w:val="restart"/>
            <w:noWrap/>
            <w:vAlign w:val="center"/>
          </w:tcPr>
          <w:p w14:paraId="4E7EAF0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ascii="宋体" w:hAnsi="宋体" w:eastAsia="宋体" w:cs="宋体"/>
                <w:color w:val="auto"/>
                <w:szCs w:val="21"/>
                <w:highlight w:val="none"/>
              </w:rPr>
              <w:t>.平面单体袋，设计节约裁切时间，规格丰富满足各类器械装载(宽度55mm-300mm，长度150-480mm) 。</w:t>
            </w:r>
          </w:p>
          <w:p w14:paraId="2A32A67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 xml:space="preserve">.含有压力蒸汽和环氧乙烷灭菌监测指示物，单个指示物面积≥100㎟。                  </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资质证件齐全，提供卫生安全评价报告，检测项目包含一般外观检查、质量测定、pH值测定、氯化物含量、硫酸盐含量测定、荧光物测定、不透气材料的不透气性检查，微生物屏障性能、压力蒸汽和环氧乙烷灭菌因子穿透性能、压力蒸汽和环氧乙烷灭菌后180天无菌有效期验证及环氧乙烷灭菌因子残留。</w:t>
            </w:r>
          </w:p>
          <w:p w14:paraId="0059A2C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.密封包装，不透气包装袋，白卡纸＋瓦楞纸的三层防护性包装。</w:t>
            </w:r>
          </w:p>
          <w:p w14:paraId="4607046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.纸质部分70g/㎡。</w:t>
            </w:r>
          </w:p>
        </w:tc>
      </w:tr>
      <w:tr w14:paraId="4D54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0FB4F2F8">
            <w:pPr>
              <w:jc w:val="center"/>
              <w:rPr>
                <w:rFonts w:ascii="黑体" w:hAnsi="黑体" w:eastAsia="黑体" w:cs="黑体"/>
                <w:sz w:val="21"/>
                <w:szCs w:val="21"/>
                <w:highlight w:val="none"/>
              </w:rPr>
            </w:pPr>
            <w:r>
              <w:rPr>
                <w:rFonts w:hint="eastAsia" w:ascii="黑体" w:hAnsi="黑体" w:eastAsia="黑体" w:cs="黑体"/>
                <w:sz w:val="21"/>
                <w:szCs w:val="21"/>
                <w:highlight w:val="none"/>
              </w:rPr>
              <w:t>25</w:t>
            </w:r>
          </w:p>
        </w:tc>
        <w:tc>
          <w:tcPr>
            <w:tcW w:w="1182" w:type="dxa"/>
            <w:noWrap/>
            <w:vAlign w:val="center"/>
          </w:tcPr>
          <w:p w14:paraId="63C51539">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3A89E111">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250*300mm</w:t>
            </w:r>
          </w:p>
        </w:tc>
        <w:tc>
          <w:tcPr>
            <w:tcW w:w="500" w:type="dxa"/>
            <w:noWrap/>
            <w:vAlign w:val="center"/>
          </w:tcPr>
          <w:p w14:paraId="1AC0D0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7429DFF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50" w:type="dxa"/>
            <w:noWrap/>
            <w:vAlign w:val="center"/>
          </w:tcPr>
          <w:p w14:paraId="29865BDD">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12000</w:t>
            </w:r>
          </w:p>
        </w:tc>
        <w:tc>
          <w:tcPr>
            <w:tcW w:w="850" w:type="dxa"/>
            <w:noWrap/>
            <w:vAlign w:val="center"/>
          </w:tcPr>
          <w:p w14:paraId="3002AB76">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12000</w:t>
            </w:r>
          </w:p>
        </w:tc>
        <w:tc>
          <w:tcPr>
            <w:tcW w:w="3055" w:type="dxa"/>
            <w:vMerge w:val="continue"/>
            <w:noWrap/>
            <w:vAlign w:val="center"/>
          </w:tcPr>
          <w:p w14:paraId="1B61213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666F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4B50555">
            <w:pPr>
              <w:jc w:val="center"/>
              <w:rPr>
                <w:rFonts w:ascii="黑体" w:hAnsi="黑体" w:eastAsia="黑体" w:cs="黑体"/>
                <w:sz w:val="21"/>
                <w:szCs w:val="21"/>
                <w:highlight w:val="none"/>
              </w:rPr>
            </w:pPr>
            <w:r>
              <w:rPr>
                <w:rFonts w:hint="eastAsia" w:ascii="黑体" w:hAnsi="黑体" w:eastAsia="黑体" w:cs="黑体"/>
                <w:sz w:val="21"/>
                <w:szCs w:val="21"/>
                <w:highlight w:val="none"/>
              </w:rPr>
              <w:t>26</w:t>
            </w:r>
          </w:p>
        </w:tc>
        <w:tc>
          <w:tcPr>
            <w:tcW w:w="1182" w:type="dxa"/>
            <w:noWrap/>
            <w:vAlign w:val="center"/>
          </w:tcPr>
          <w:p w14:paraId="528257AC">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2FB55DA2">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250*350mm</w:t>
            </w:r>
          </w:p>
        </w:tc>
        <w:tc>
          <w:tcPr>
            <w:tcW w:w="500" w:type="dxa"/>
            <w:noWrap/>
            <w:vAlign w:val="center"/>
          </w:tcPr>
          <w:p w14:paraId="35E735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153F00A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50" w:type="dxa"/>
            <w:noWrap/>
            <w:vAlign w:val="center"/>
          </w:tcPr>
          <w:p w14:paraId="7ADA7CA6">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4000</w:t>
            </w:r>
          </w:p>
        </w:tc>
        <w:tc>
          <w:tcPr>
            <w:tcW w:w="850" w:type="dxa"/>
            <w:noWrap/>
            <w:vAlign w:val="center"/>
          </w:tcPr>
          <w:p w14:paraId="007946BB">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4800</w:t>
            </w:r>
          </w:p>
        </w:tc>
        <w:tc>
          <w:tcPr>
            <w:tcW w:w="3055" w:type="dxa"/>
            <w:vMerge w:val="continue"/>
            <w:noWrap/>
            <w:vAlign w:val="center"/>
          </w:tcPr>
          <w:p w14:paraId="4BE8F77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64E7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5399A5C">
            <w:pPr>
              <w:jc w:val="center"/>
              <w:rPr>
                <w:rFonts w:ascii="黑体" w:hAnsi="黑体" w:eastAsia="黑体" w:cs="黑体"/>
                <w:sz w:val="21"/>
                <w:szCs w:val="21"/>
                <w:highlight w:val="none"/>
              </w:rPr>
            </w:pPr>
            <w:r>
              <w:rPr>
                <w:rFonts w:hint="eastAsia" w:ascii="黑体" w:hAnsi="黑体" w:eastAsia="黑体" w:cs="黑体"/>
                <w:sz w:val="21"/>
                <w:szCs w:val="21"/>
                <w:highlight w:val="none"/>
              </w:rPr>
              <w:t>27</w:t>
            </w:r>
          </w:p>
        </w:tc>
        <w:tc>
          <w:tcPr>
            <w:tcW w:w="1182" w:type="dxa"/>
            <w:noWrap/>
            <w:vAlign w:val="center"/>
          </w:tcPr>
          <w:p w14:paraId="2C961454">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5346D5D4">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350*450mm</w:t>
            </w:r>
          </w:p>
        </w:tc>
        <w:tc>
          <w:tcPr>
            <w:tcW w:w="500" w:type="dxa"/>
            <w:noWrap/>
            <w:vAlign w:val="center"/>
          </w:tcPr>
          <w:p w14:paraId="499EF8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884B8C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50" w:type="dxa"/>
            <w:noWrap/>
            <w:vAlign w:val="center"/>
          </w:tcPr>
          <w:p w14:paraId="116693CB">
            <w:pPr>
              <w:spacing w:line="4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200</w:t>
            </w:r>
          </w:p>
        </w:tc>
        <w:tc>
          <w:tcPr>
            <w:tcW w:w="850" w:type="dxa"/>
            <w:noWrap/>
            <w:vAlign w:val="center"/>
          </w:tcPr>
          <w:p w14:paraId="66C47B7B">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w:t>
            </w:r>
          </w:p>
        </w:tc>
        <w:tc>
          <w:tcPr>
            <w:tcW w:w="3055" w:type="dxa"/>
            <w:vMerge w:val="continue"/>
            <w:noWrap/>
            <w:vAlign w:val="center"/>
          </w:tcPr>
          <w:p w14:paraId="07C0BA1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1B3D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D2B97EC">
            <w:pPr>
              <w:jc w:val="center"/>
              <w:rPr>
                <w:rFonts w:ascii="黑体" w:hAnsi="黑体" w:eastAsia="黑体" w:cs="黑体"/>
                <w:sz w:val="21"/>
                <w:szCs w:val="21"/>
                <w:highlight w:val="none"/>
              </w:rPr>
            </w:pPr>
            <w:r>
              <w:rPr>
                <w:rFonts w:hint="eastAsia" w:ascii="黑体" w:hAnsi="黑体" w:eastAsia="黑体" w:cs="黑体"/>
                <w:sz w:val="21"/>
                <w:szCs w:val="21"/>
                <w:highlight w:val="none"/>
              </w:rPr>
              <w:t>28</w:t>
            </w:r>
          </w:p>
        </w:tc>
        <w:tc>
          <w:tcPr>
            <w:tcW w:w="1182" w:type="dxa"/>
            <w:noWrap/>
            <w:vAlign w:val="center"/>
          </w:tcPr>
          <w:p w14:paraId="627B37F2">
            <w:pPr>
              <w:widowControl/>
              <w:jc w:val="center"/>
              <w:textAlignment w:val="center"/>
              <w:rPr>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eastAsia="zh-CN"/>
              </w:rPr>
              <w:t>高温纸塑袋</w:t>
            </w:r>
            <w:r>
              <w:rPr>
                <w:rStyle w:val="30"/>
                <w:rFonts w:hint="eastAsia" w:ascii="宋体" w:hAnsi="宋体" w:cs="宋体"/>
                <w:color w:val="auto"/>
                <w:sz w:val="21"/>
                <w:szCs w:val="21"/>
                <w:highlight w:val="none"/>
                <w:lang w:val="en-US" w:eastAsia="zh-CN"/>
              </w:rPr>
              <w:t xml:space="preserve"> （张</w:t>
            </w:r>
            <w:r>
              <w:rPr>
                <w:rStyle w:val="30"/>
                <w:rFonts w:hint="eastAsia" w:ascii="宋体" w:hAnsi="宋体" w:cs="宋体"/>
                <w:color w:val="auto"/>
                <w:sz w:val="21"/>
                <w:szCs w:val="21"/>
                <w:highlight w:val="none"/>
                <w:lang w:eastAsia="zh-CN"/>
              </w:rPr>
              <w:t>）</w:t>
            </w:r>
          </w:p>
        </w:tc>
        <w:tc>
          <w:tcPr>
            <w:tcW w:w="1137" w:type="dxa"/>
            <w:noWrap/>
            <w:vAlign w:val="center"/>
          </w:tcPr>
          <w:p w14:paraId="33DC55C0">
            <w:pPr>
              <w:widowControl/>
              <w:jc w:val="center"/>
              <w:textAlignment w:val="center"/>
              <w:rPr>
                <w:rFonts w:hint="eastAsia" w:ascii="宋体" w:hAnsi="宋体" w:eastAsia="宋体" w:cs="宋体"/>
                <w:color w:val="auto"/>
                <w:sz w:val="20"/>
                <w:szCs w:val="20"/>
                <w:highlight w:val="none"/>
              </w:rPr>
            </w:pPr>
            <w:r>
              <w:rPr>
                <w:rStyle w:val="30"/>
                <w:rFonts w:hint="eastAsia" w:ascii="宋体" w:hAnsi="宋体" w:eastAsia="宋体" w:cs="宋体"/>
                <w:color w:val="auto"/>
                <w:sz w:val="20"/>
                <w:szCs w:val="20"/>
                <w:highlight w:val="none"/>
              </w:rPr>
              <w:t>300*400mm</w:t>
            </w:r>
          </w:p>
        </w:tc>
        <w:tc>
          <w:tcPr>
            <w:tcW w:w="500" w:type="dxa"/>
            <w:noWrap/>
            <w:vAlign w:val="center"/>
          </w:tcPr>
          <w:p w14:paraId="0538A6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42FE92D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50" w:type="dxa"/>
            <w:noWrap/>
            <w:vAlign w:val="center"/>
          </w:tcPr>
          <w:p w14:paraId="073B80EF">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900</w:t>
            </w:r>
          </w:p>
        </w:tc>
        <w:tc>
          <w:tcPr>
            <w:tcW w:w="850" w:type="dxa"/>
            <w:noWrap/>
            <w:vAlign w:val="center"/>
          </w:tcPr>
          <w:p w14:paraId="44FF05C5">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4060</w:t>
            </w:r>
          </w:p>
        </w:tc>
        <w:tc>
          <w:tcPr>
            <w:tcW w:w="3055" w:type="dxa"/>
            <w:vMerge w:val="continue"/>
            <w:noWrap/>
            <w:vAlign w:val="center"/>
          </w:tcPr>
          <w:p w14:paraId="07AF914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711E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9B566D7">
            <w:pPr>
              <w:jc w:val="center"/>
              <w:rPr>
                <w:rFonts w:ascii="黑体" w:hAnsi="黑体" w:eastAsia="黑体" w:cs="黑体"/>
                <w:sz w:val="21"/>
                <w:szCs w:val="21"/>
                <w:highlight w:val="none"/>
              </w:rPr>
            </w:pPr>
            <w:r>
              <w:rPr>
                <w:rFonts w:hint="eastAsia" w:ascii="黑体" w:hAnsi="黑体" w:eastAsia="黑体" w:cs="黑体"/>
                <w:sz w:val="21"/>
                <w:szCs w:val="21"/>
                <w:highlight w:val="none"/>
              </w:rPr>
              <w:t>29</w:t>
            </w:r>
          </w:p>
        </w:tc>
        <w:tc>
          <w:tcPr>
            <w:tcW w:w="1182" w:type="dxa"/>
            <w:noWrap/>
            <w:vAlign w:val="center"/>
          </w:tcPr>
          <w:p w14:paraId="6BDF8B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医用灭菌包装无纺布标准型</w:t>
            </w:r>
          </w:p>
        </w:tc>
        <w:tc>
          <w:tcPr>
            <w:tcW w:w="1137" w:type="dxa"/>
            <w:noWrap/>
            <w:vAlign w:val="center"/>
          </w:tcPr>
          <w:p w14:paraId="6269E4E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60*60cm</w:t>
            </w:r>
          </w:p>
        </w:tc>
        <w:tc>
          <w:tcPr>
            <w:tcW w:w="500" w:type="dxa"/>
            <w:noWrap/>
            <w:vAlign w:val="center"/>
          </w:tcPr>
          <w:p w14:paraId="33A09D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A22B21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50" w:type="dxa"/>
            <w:noWrap/>
            <w:vAlign w:val="center"/>
          </w:tcPr>
          <w:p w14:paraId="6B7B8C25">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1000</w:t>
            </w:r>
          </w:p>
        </w:tc>
        <w:tc>
          <w:tcPr>
            <w:tcW w:w="850" w:type="dxa"/>
            <w:noWrap/>
            <w:vAlign w:val="center"/>
          </w:tcPr>
          <w:p w14:paraId="5B20B407">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1800</w:t>
            </w:r>
          </w:p>
        </w:tc>
        <w:tc>
          <w:tcPr>
            <w:tcW w:w="3055" w:type="dxa"/>
            <w:vMerge w:val="restart"/>
            <w:noWrap/>
            <w:vAlign w:val="center"/>
          </w:tcPr>
          <w:p w14:paraId="7F817723">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kern w:val="2"/>
                <w:sz w:val="21"/>
                <w:szCs w:val="21"/>
                <w:highlight w:val="none"/>
                <w:lang w:val="en-US" w:eastAsia="zh-CN" w:bidi="ar-SA"/>
              </w:rPr>
              <w:t>1.</w:t>
            </w:r>
            <w:r>
              <w:rPr>
                <w:rFonts w:ascii="宋体" w:hAnsi="宋体" w:eastAsia="宋体" w:cs="宋体"/>
                <w:color w:val="auto"/>
                <w:szCs w:val="21"/>
                <w:highlight w:val="none"/>
              </w:rPr>
              <w:t>【湿性及干性微生物屏障】按消毒技术规范</w:t>
            </w:r>
            <w:r>
              <w:rPr>
                <w:rFonts w:hint="eastAsia" w:ascii="宋体" w:hAnsi="宋体" w:eastAsia="宋体" w:cs="宋体"/>
                <w:color w:val="auto"/>
                <w:szCs w:val="21"/>
                <w:highlight w:val="none"/>
                <w:lang w:eastAsia="zh-CN"/>
              </w:rPr>
              <w:t>。</w:t>
            </w:r>
          </w:p>
          <w:p w14:paraId="68458CC2">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2.【生物相容性和毒理学特性】产品系列具备CMA/CNAS认可实验室根据GB/T 16886出具评价报告，应包括皮肤刺激、致敏和细胞毒性</w:t>
            </w:r>
            <w:r>
              <w:rPr>
                <w:rFonts w:hint="eastAsia" w:ascii="宋体" w:hAnsi="宋体" w:eastAsia="宋体" w:cs="宋体"/>
                <w:color w:val="auto"/>
                <w:szCs w:val="21"/>
                <w:highlight w:val="none"/>
                <w:lang w:eastAsia="zh-CN"/>
              </w:rPr>
              <w:t>。</w:t>
            </w:r>
          </w:p>
          <w:p w14:paraId="505AA2A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3.【物理和化学特性】防水性能为1级</w:t>
            </w:r>
            <w:r>
              <w:rPr>
                <w:rFonts w:hint="eastAsia" w:ascii="宋体" w:hAnsi="宋体" w:eastAsia="宋体" w:cs="宋体"/>
                <w:color w:val="auto"/>
                <w:szCs w:val="21"/>
                <w:highlight w:val="none"/>
                <w:lang w:eastAsia="zh-CN"/>
              </w:rPr>
              <w:t>。</w:t>
            </w:r>
          </w:p>
          <w:p w14:paraId="47506F9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4.【与预期灭菌过程相适应】121℃及134℃压力蒸汽、过氧化氢低温等离子体灭菌、环氧乙烷灭菌、低温蒸汽甲醛灭菌、过氧乙酸灭菌等各种灭菌方式灭菌因子穿透性合格，残留量应符合标准</w:t>
            </w:r>
            <w:r>
              <w:rPr>
                <w:rFonts w:hint="eastAsia" w:ascii="宋体" w:hAnsi="宋体" w:cs="宋体"/>
                <w:color w:val="auto"/>
                <w:szCs w:val="21"/>
                <w:highlight w:val="none"/>
                <w:lang w:eastAsia="zh-CN"/>
              </w:rPr>
              <w:t>。</w:t>
            </w:r>
          </w:p>
          <w:p w14:paraId="3D2ED29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5.【灭菌前及灭菌后的贮存寿命】产品有效期经专业机构检测。灭菌后无菌有效期符合医院消毒供应中心相关标准（可达180日），提供第三方报告。</w:t>
            </w:r>
          </w:p>
          <w:p w14:paraId="440EF2F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6.产品提供相应检测报告</w:t>
            </w:r>
            <w:r>
              <w:rPr>
                <w:rFonts w:hint="eastAsia" w:ascii="宋体" w:hAnsi="宋体" w:eastAsia="宋体" w:cs="宋体"/>
                <w:color w:val="auto"/>
                <w:szCs w:val="21"/>
                <w:highlight w:val="none"/>
                <w:lang w:eastAsia="zh-CN"/>
              </w:rPr>
              <w:t>。</w:t>
            </w:r>
          </w:p>
          <w:p w14:paraId="206F8C7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7.规格尺寸齐全（300mm-1500mm），支持定制。克重包括50g，60g，70g。</w:t>
            </w:r>
          </w:p>
          <w:p w14:paraId="2C8541D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8.可提供单色装、双色混装可选</w:t>
            </w:r>
            <w:r>
              <w:rPr>
                <w:rFonts w:hint="eastAsia" w:ascii="宋体" w:hAnsi="宋体" w:eastAsia="宋体" w:cs="宋体"/>
                <w:color w:val="auto"/>
                <w:szCs w:val="21"/>
                <w:highlight w:val="none"/>
                <w:lang w:eastAsia="zh-CN"/>
              </w:rPr>
              <w:t>。</w:t>
            </w:r>
          </w:p>
          <w:p w14:paraId="7404E97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ascii="宋体" w:hAnsi="宋体" w:eastAsia="宋体" w:cs="宋体"/>
                <w:color w:val="auto"/>
                <w:szCs w:val="21"/>
                <w:highlight w:val="none"/>
              </w:rPr>
              <w:t>9.全新聚丙烯料生产，不添加碳酸钙</w:t>
            </w:r>
            <w:r>
              <w:rPr>
                <w:rFonts w:hint="eastAsia" w:ascii="宋体" w:hAnsi="宋体" w:eastAsia="宋体" w:cs="宋体"/>
                <w:color w:val="auto"/>
                <w:szCs w:val="21"/>
                <w:highlight w:val="none"/>
                <w:lang w:eastAsia="zh-CN"/>
              </w:rPr>
              <w:t>。</w:t>
            </w:r>
          </w:p>
        </w:tc>
      </w:tr>
      <w:tr w14:paraId="6FF2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45326130">
            <w:pPr>
              <w:jc w:val="center"/>
              <w:rPr>
                <w:rFonts w:ascii="黑体" w:hAnsi="黑体" w:eastAsia="黑体" w:cs="黑体"/>
                <w:sz w:val="21"/>
                <w:szCs w:val="21"/>
                <w:highlight w:val="none"/>
              </w:rPr>
            </w:pPr>
            <w:r>
              <w:rPr>
                <w:rFonts w:hint="eastAsia" w:ascii="黑体" w:hAnsi="黑体" w:eastAsia="黑体" w:cs="黑体"/>
                <w:sz w:val="21"/>
                <w:szCs w:val="21"/>
                <w:highlight w:val="none"/>
              </w:rPr>
              <w:t>30</w:t>
            </w:r>
          </w:p>
        </w:tc>
        <w:tc>
          <w:tcPr>
            <w:tcW w:w="1182" w:type="dxa"/>
            <w:noWrap/>
            <w:vAlign w:val="center"/>
          </w:tcPr>
          <w:p w14:paraId="57293E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医用灭菌包装无纺布标准型</w:t>
            </w:r>
          </w:p>
        </w:tc>
        <w:tc>
          <w:tcPr>
            <w:tcW w:w="1137" w:type="dxa"/>
            <w:noWrap/>
            <w:vAlign w:val="center"/>
          </w:tcPr>
          <w:p w14:paraId="1E82292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80*80cm</w:t>
            </w:r>
          </w:p>
        </w:tc>
        <w:tc>
          <w:tcPr>
            <w:tcW w:w="500" w:type="dxa"/>
            <w:noWrap/>
            <w:vAlign w:val="center"/>
          </w:tcPr>
          <w:p w14:paraId="213FE3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01457E3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850" w:type="dxa"/>
            <w:noWrap/>
            <w:vAlign w:val="center"/>
          </w:tcPr>
          <w:p w14:paraId="738D3C57">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1000</w:t>
            </w:r>
          </w:p>
        </w:tc>
        <w:tc>
          <w:tcPr>
            <w:tcW w:w="850" w:type="dxa"/>
            <w:noWrap/>
            <w:vAlign w:val="center"/>
          </w:tcPr>
          <w:p w14:paraId="04AED517">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3200</w:t>
            </w:r>
          </w:p>
        </w:tc>
        <w:tc>
          <w:tcPr>
            <w:tcW w:w="3055" w:type="dxa"/>
            <w:vMerge w:val="continue"/>
            <w:noWrap/>
            <w:vAlign w:val="center"/>
          </w:tcPr>
          <w:p w14:paraId="7AEA134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3910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2E297C65">
            <w:pPr>
              <w:jc w:val="center"/>
              <w:rPr>
                <w:rFonts w:ascii="黑体" w:hAnsi="黑体" w:eastAsia="黑体" w:cs="黑体"/>
                <w:sz w:val="21"/>
                <w:szCs w:val="21"/>
                <w:highlight w:val="none"/>
              </w:rPr>
            </w:pPr>
            <w:r>
              <w:rPr>
                <w:rFonts w:hint="eastAsia" w:ascii="黑体" w:hAnsi="黑体" w:eastAsia="黑体" w:cs="黑体"/>
                <w:sz w:val="21"/>
                <w:szCs w:val="21"/>
                <w:highlight w:val="none"/>
              </w:rPr>
              <w:t>31</w:t>
            </w:r>
          </w:p>
        </w:tc>
        <w:tc>
          <w:tcPr>
            <w:tcW w:w="1182" w:type="dxa"/>
            <w:noWrap/>
            <w:vAlign w:val="center"/>
          </w:tcPr>
          <w:p w14:paraId="409E60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w:t>
            </w:r>
          </w:p>
          <w:p w14:paraId="5738CE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标准型</w:t>
            </w:r>
          </w:p>
        </w:tc>
        <w:tc>
          <w:tcPr>
            <w:tcW w:w="1137" w:type="dxa"/>
            <w:noWrap/>
            <w:vAlign w:val="center"/>
          </w:tcPr>
          <w:p w14:paraId="0C57191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100*100cm</w:t>
            </w:r>
          </w:p>
        </w:tc>
        <w:tc>
          <w:tcPr>
            <w:tcW w:w="500" w:type="dxa"/>
            <w:noWrap/>
            <w:vAlign w:val="center"/>
          </w:tcPr>
          <w:p w14:paraId="08D1C4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6386430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50" w:type="dxa"/>
            <w:noWrap/>
            <w:vAlign w:val="center"/>
          </w:tcPr>
          <w:p w14:paraId="3FCEC462">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2000</w:t>
            </w:r>
          </w:p>
        </w:tc>
        <w:tc>
          <w:tcPr>
            <w:tcW w:w="850" w:type="dxa"/>
            <w:noWrap/>
            <w:vAlign w:val="center"/>
          </w:tcPr>
          <w:p w14:paraId="5FC2C434">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10000</w:t>
            </w:r>
          </w:p>
        </w:tc>
        <w:tc>
          <w:tcPr>
            <w:tcW w:w="3055" w:type="dxa"/>
            <w:vMerge w:val="continue"/>
            <w:noWrap/>
            <w:vAlign w:val="center"/>
          </w:tcPr>
          <w:p w14:paraId="4776C04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043C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E091D5D">
            <w:pPr>
              <w:jc w:val="center"/>
              <w:rPr>
                <w:rFonts w:ascii="黑体" w:hAnsi="黑体" w:eastAsia="黑体" w:cs="黑体"/>
                <w:sz w:val="21"/>
                <w:szCs w:val="21"/>
                <w:highlight w:val="none"/>
              </w:rPr>
            </w:pPr>
            <w:r>
              <w:rPr>
                <w:rFonts w:hint="eastAsia" w:ascii="黑体" w:hAnsi="黑体" w:eastAsia="黑体" w:cs="黑体"/>
                <w:sz w:val="21"/>
                <w:szCs w:val="21"/>
                <w:highlight w:val="none"/>
              </w:rPr>
              <w:t>32</w:t>
            </w:r>
          </w:p>
        </w:tc>
        <w:tc>
          <w:tcPr>
            <w:tcW w:w="1182" w:type="dxa"/>
            <w:noWrap/>
            <w:vAlign w:val="center"/>
          </w:tcPr>
          <w:p w14:paraId="6B4A75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医用灭菌包装无纺布标准型</w:t>
            </w:r>
          </w:p>
        </w:tc>
        <w:tc>
          <w:tcPr>
            <w:tcW w:w="1137" w:type="dxa"/>
            <w:noWrap/>
            <w:vAlign w:val="center"/>
          </w:tcPr>
          <w:p w14:paraId="0379315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120*120cm</w:t>
            </w:r>
          </w:p>
        </w:tc>
        <w:tc>
          <w:tcPr>
            <w:tcW w:w="500" w:type="dxa"/>
            <w:noWrap/>
            <w:vAlign w:val="center"/>
          </w:tcPr>
          <w:p w14:paraId="7B16756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3AC82E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50" w:type="dxa"/>
            <w:noWrap/>
            <w:vAlign w:val="center"/>
          </w:tcPr>
          <w:p w14:paraId="2060C3A9">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600</w:t>
            </w:r>
          </w:p>
        </w:tc>
        <w:tc>
          <w:tcPr>
            <w:tcW w:w="850" w:type="dxa"/>
            <w:noWrap/>
            <w:vAlign w:val="center"/>
          </w:tcPr>
          <w:p w14:paraId="42C07453">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3600</w:t>
            </w:r>
          </w:p>
        </w:tc>
        <w:tc>
          <w:tcPr>
            <w:tcW w:w="3055" w:type="dxa"/>
            <w:vMerge w:val="continue"/>
            <w:noWrap/>
            <w:vAlign w:val="center"/>
          </w:tcPr>
          <w:p w14:paraId="33438BD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p>
        </w:tc>
      </w:tr>
      <w:tr w14:paraId="74F8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66EA6193">
            <w:pPr>
              <w:jc w:val="center"/>
              <w:rPr>
                <w:rFonts w:ascii="黑体" w:hAnsi="黑体" w:eastAsia="黑体" w:cs="黑体"/>
                <w:sz w:val="21"/>
                <w:szCs w:val="21"/>
                <w:highlight w:val="none"/>
              </w:rPr>
            </w:pPr>
            <w:r>
              <w:rPr>
                <w:rFonts w:hint="eastAsia" w:ascii="黑体" w:hAnsi="黑体" w:eastAsia="黑体" w:cs="黑体"/>
                <w:sz w:val="21"/>
                <w:szCs w:val="21"/>
                <w:highlight w:val="none"/>
              </w:rPr>
              <w:t>33</w:t>
            </w:r>
          </w:p>
        </w:tc>
        <w:tc>
          <w:tcPr>
            <w:tcW w:w="1182" w:type="dxa"/>
            <w:noWrap/>
            <w:vAlign w:val="center"/>
          </w:tcPr>
          <w:p w14:paraId="492202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封口测试纸(高温)</w:t>
            </w:r>
          </w:p>
        </w:tc>
        <w:tc>
          <w:tcPr>
            <w:tcW w:w="1137" w:type="dxa"/>
            <w:noWrap/>
            <w:vAlign w:val="center"/>
          </w:tcPr>
          <w:p w14:paraId="5F2DF21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500" w:type="dxa"/>
            <w:noWrap/>
            <w:vAlign w:val="center"/>
          </w:tcPr>
          <w:p w14:paraId="3CEDE9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938" w:type="dxa"/>
            <w:noWrap/>
            <w:vAlign w:val="center"/>
          </w:tcPr>
          <w:p w14:paraId="34E7F1E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850" w:type="dxa"/>
            <w:noWrap/>
            <w:vAlign w:val="center"/>
          </w:tcPr>
          <w:p w14:paraId="2736D391">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250</w:t>
            </w:r>
          </w:p>
        </w:tc>
        <w:tc>
          <w:tcPr>
            <w:tcW w:w="850" w:type="dxa"/>
            <w:noWrap/>
            <w:vAlign w:val="center"/>
          </w:tcPr>
          <w:p w14:paraId="593BC729">
            <w:pPr>
              <w:spacing w:line="4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1200</w:t>
            </w:r>
          </w:p>
        </w:tc>
        <w:tc>
          <w:tcPr>
            <w:tcW w:w="3055" w:type="dxa"/>
            <w:noWrap/>
            <w:vAlign w:val="center"/>
          </w:tcPr>
          <w:p w14:paraId="24116F97">
            <w:pPr>
              <w:rPr>
                <w:rFonts w:ascii="宋体" w:hAnsi="宋体" w:eastAsia="宋体" w:cs="宋体"/>
                <w:color w:val="auto"/>
                <w:szCs w:val="21"/>
                <w:highlight w:val="none"/>
              </w:rPr>
            </w:pPr>
            <w:r>
              <w:rPr>
                <w:rFonts w:ascii="宋体" w:hAnsi="宋体" w:eastAsia="宋体" w:cs="宋体"/>
                <w:color w:val="auto"/>
                <w:szCs w:val="21"/>
                <w:highlight w:val="none"/>
              </w:rPr>
              <w:t>1.用于每日对封合压力蒸汽、环氧乙烷、甲醛纸塑包装袋的封口机进行温度、压力、时间验证。</w:t>
            </w:r>
          </w:p>
          <w:p w14:paraId="7C464980">
            <w:pPr>
              <w:rPr>
                <w:rFonts w:ascii="宋体" w:hAnsi="宋体" w:eastAsia="宋体" w:cs="宋体"/>
                <w:color w:val="auto"/>
                <w:szCs w:val="21"/>
                <w:highlight w:val="none"/>
              </w:rPr>
            </w:pPr>
            <w:r>
              <w:rPr>
                <w:rFonts w:ascii="宋体" w:hAnsi="宋体" w:eastAsia="宋体" w:cs="宋体"/>
                <w:color w:val="auto"/>
                <w:szCs w:val="21"/>
                <w:highlight w:val="none"/>
              </w:rPr>
              <w:t>2.封口温度180℃-200℃</w:t>
            </w:r>
          </w:p>
          <w:p w14:paraId="67B46C0B">
            <w:pPr>
              <w:rPr>
                <w:rFonts w:hint="eastAsia" w:ascii="宋体" w:hAnsi="宋体" w:cs="宋体"/>
                <w:color w:val="auto"/>
                <w:sz w:val="21"/>
                <w:szCs w:val="21"/>
                <w:highlight w:val="none"/>
                <w:lang w:val="en-US" w:eastAsia="zh-CN"/>
              </w:rPr>
            </w:pPr>
            <w:r>
              <w:rPr>
                <w:rFonts w:ascii="宋体" w:hAnsi="宋体" w:eastAsia="宋体" w:cs="宋体"/>
                <w:color w:val="auto"/>
                <w:szCs w:val="21"/>
                <w:highlight w:val="none"/>
              </w:rPr>
              <w:t>3.应采用塑料膜与测试纸集成的设计，避免塑料膜特性影响测试结果。</w:t>
            </w:r>
          </w:p>
        </w:tc>
      </w:tr>
      <w:tr w14:paraId="31DA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3E3BD209">
            <w:pPr>
              <w:jc w:val="center"/>
              <w:rPr>
                <w:rFonts w:ascii="黑体" w:hAnsi="黑体" w:eastAsia="黑体" w:cs="黑体"/>
                <w:sz w:val="21"/>
                <w:szCs w:val="21"/>
              </w:rPr>
            </w:pPr>
            <w:r>
              <w:rPr>
                <w:rFonts w:hint="eastAsia" w:ascii="黑体" w:hAnsi="黑体" w:eastAsia="黑体" w:cs="黑体"/>
                <w:sz w:val="21"/>
                <w:szCs w:val="21"/>
              </w:rPr>
              <w:t>34</w:t>
            </w:r>
          </w:p>
        </w:tc>
        <w:tc>
          <w:tcPr>
            <w:tcW w:w="1182" w:type="dxa"/>
            <w:noWrap/>
            <w:vAlign w:val="center"/>
          </w:tcPr>
          <w:p w14:paraId="678BD99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封口测试纸(低温)</w:t>
            </w:r>
          </w:p>
        </w:tc>
        <w:tc>
          <w:tcPr>
            <w:tcW w:w="1137" w:type="dxa"/>
            <w:noWrap/>
            <w:vAlign w:val="center"/>
          </w:tcPr>
          <w:p w14:paraId="1D4CF197">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500" w:type="dxa"/>
            <w:noWrap/>
            <w:vAlign w:val="center"/>
          </w:tcPr>
          <w:p w14:paraId="65123A7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张</w:t>
            </w:r>
          </w:p>
        </w:tc>
        <w:tc>
          <w:tcPr>
            <w:tcW w:w="938" w:type="dxa"/>
            <w:noWrap/>
            <w:vAlign w:val="center"/>
          </w:tcPr>
          <w:p w14:paraId="386F8615">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850" w:type="dxa"/>
            <w:noWrap/>
            <w:vAlign w:val="center"/>
          </w:tcPr>
          <w:p w14:paraId="6755205B">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200</w:t>
            </w:r>
          </w:p>
        </w:tc>
        <w:tc>
          <w:tcPr>
            <w:tcW w:w="850" w:type="dxa"/>
            <w:noWrap/>
            <w:vAlign w:val="center"/>
          </w:tcPr>
          <w:p w14:paraId="34FCD5FB">
            <w:pPr>
              <w:spacing w:line="4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1100</w:t>
            </w:r>
          </w:p>
        </w:tc>
        <w:tc>
          <w:tcPr>
            <w:tcW w:w="3055" w:type="dxa"/>
            <w:noWrap/>
            <w:vAlign w:val="center"/>
          </w:tcPr>
          <w:p w14:paraId="5710A06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rPr>
            </w:pPr>
            <w:r>
              <w:rPr>
                <w:rFonts w:ascii="宋体" w:hAnsi="宋体" w:eastAsia="宋体" w:cs="宋体"/>
                <w:color w:val="auto"/>
                <w:szCs w:val="21"/>
              </w:rPr>
              <w:t>1.用于每日对封口机进行温度、压力、时间验证。</w:t>
            </w:r>
          </w:p>
          <w:p w14:paraId="75D38C2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lang w:eastAsia="zh-CN"/>
              </w:rPr>
            </w:pPr>
            <w:r>
              <w:rPr>
                <w:rFonts w:ascii="宋体" w:hAnsi="宋体" w:eastAsia="宋体" w:cs="宋体"/>
                <w:color w:val="auto"/>
                <w:szCs w:val="21"/>
              </w:rPr>
              <w:t>2.封口温度110℃-130℃</w:t>
            </w:r>
            <w:r>
              <w:rPr>
                <w:rFonts w:hint="eastAsia" w:ascii="宋体" w:hAnsi="宋体" w:eastAsia="宋体" w:cs="宋体"/>
                <w:color w:val="auto"/>
                <w:szCs w:val="21"/>
                <w:lang w:eastAsia="zh-CN"/>
              </w:rPr>
              <w:t>。</w:t>
            </w:r>
          </w:p>
          <w:p w14:paraId="2FC02EC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auto"/>
                <w:sz w:val="21"/>
                <w:szCs w:val="21"/>
                <w:lang w:val="en-US" w:eastAsia="zh-CN"/>
              </w:rPr>
            </w:pPr>
            <w:r>
              <w:rPr>
                <w:rFonts w:ascii="宋体" w:hAnsi="宋体" w:eastAsia="宋体" w:cs="宋体"/>
                <w:color w:val="auto"/>
                <w:szCs w:val="21"/>
              </w:rPr>
              <w:t>3.应采用塑料膜与测试纸集成的设计，避免塑料膜特性影响测试结果。</w:t>
            </w:r>
          </w:p>
        </w:tc>
      </w:tr>
      <w:tr w14:paraId="720B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noWrap/>
            <w:vAlign w:val="center"/>
          </w:tcPr>
          <w:p w14:paraId="171CD1EB">
            <w:pPr>
              <w:jc w:val="center"/>
              <w:rPr>
                <w:rFonts w:ascii="黑体" w:hAnsi="黑体" w:eastAsia="黑体" w:cs="黑体"/>
                <w:sz w:val="21"/>
                <w:szCs w:val="21"/>
                <w:highlight w:val="none"/>
              </w:rPr>
            </w:pPr>
            <w:r>
              <w:rPr>
                <w:rFonts w:hint="eastAsia" w:ascii="黑体" w:hAnsi="黑体" w:eastAsia="黑体" w:cs="黑体"/>
                <w:sz w:val="21"/>
                <w:szCs w:val="21"/>
                <w:highlight w:val="none"/>
              </w:rPr>
              <w:t>35</w:t>
            </w:r>
          </w:p>
        </w:tc>
        <w:tc>
          <w:tcPr>
            <w:tcW w:w="1182" w:type="dxa"/>
            <w:noWrap/>
            <w:vAlign w:val="center"/>
          </w:tcPr>
          <w:p w14:paraId="1B3F3C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封口测试纸记录册</w:t>
            </w:r>
          </w:p>
        </w:tc>
        <w:tc>
          <w:tcPr>
            <w:tcW w:w="1137" w:type="dxa"/>
            <w:noWrap/>
            <w:vAlign w:val="center"/>
          </w:tcPr>
          <w:p w14:paraId="66FD050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500" w:type="dxa"/>
            <w:noWrap/>
            <w:vAlign w:val="center"/>
          </w:tcPr>
          <w:p w14:paraId="47A58A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tc>
        <w:tc>
          <w:tcPr>
            <w:tcW w:w="938" w:type="dxa"/>
            <w:noWrap/>
            <w:vAlign w:val="center"/>
          </w:tcPr>
          <w:p w14:paraId="455C45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免费使用权</w:t>
            </w:r>
          </w:p>
        </w:tc>
        <w:tc>
          <w:tcPr>
            <w:tcW w:w="850" w:type="dxa"/>
            <w:noWrap/>
            <w:vAlign w:val="center"/>
          </w:tcPr>
          <w:p w14:paraId="288BD2AA">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50" w:type="dxa"/>
            <w:noWrap/>
            <w:vAlign w:val="center"/>
          </w:tcPr>
          <w:p w14:paraId="3A2002E6">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免费使用权</w:t>
            </w:r>
          </w:p>
        </w:tc>
        <w:tc>
          <w:tcPr>
            <w:tcW w:w="3055" w:type="dxa"/>
            <w:noWrap/>
            <w:vAlign w:val="center"/>
          </w:tcPr>
          <w:p w14:paraId="2DF300D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1.与封口测试纸配合使用。</w:t>
            </w:r>
          </w:p>
          <w:p w14:paraId="01855FB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color w:val="auto"/>
                <w:szCs w:val="21"/>
                <w:highlight w:val="none"/>
              </w:rPr>
            </w:pPr>
            <w:r>
              <w:rPr>
                <w:rFonts w:ascii="宋体" w:hAnsi="宋体" w:eastAsia="宋体" w:cs="宋体"/>
                <w:color w:val="auto"/>
                <w:szCs w:val="21"/>
                <w:highlight w:val="none"/>
              </w:rPr>
              <w:t>2.文件夹设计，满足管理归档要求。</w:t>
            </w:r>
          </w:p>
          <w:p w14:paraId="1817B9E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ascii="宋体" w:hAnsi="宋体" w:eastAsia="宋体" w:cs="宋体"/>
                <w:color w:val="auto"/>
                <w:szCs w:val="21"/>
                <w:highlight w:val="none"/>
              </w:rPr>
              <w:t>3.加上记录量</w:t>
            </w:r>
            <w:r>
              <w:rPr>
                <w:rFonts w:hint="eastAsia" w:ascii="宋体" w:hAnsi="宋体" w:eastAsia="宋体" w:cs="宋体"/>
                <w:color w:val="auto"/>
                <w:szCs w:val="21"/>
                <w:highlight w:val="none"/>
                <w:lang w:eastAsia="zh-CN"/>
              </w:rPr>
              <w:t>。</w:t>
            </w:r>
          </w:p>
        </w:tc>
      </w:tr>
      <w:tr w14:paraId="31A8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54" w:type="dxa"/>
            <w:gridSpan w:val="8"/>
            <w:noWrap/>
            <w:vAlign w:val="center"/>
          </w:tcPr>
          <w:p w14:paraId="4F45011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eastAsia="宋体" w:cs="宋体"/>
                <w:color w:val="0000FF"/>
                <w:szCs w:val="21"/>
              </w:rPr>
            </w:pPr>
            <w:r>
              <w:rPr>
                <w:rFonts w:hint="eastAsia" w:ascii="宋体" w:hAnsi="宋体" w:eastAsia="宋体" w:cs="宋体"/>
                <w:color w:val="auto"/>
                <w:sz w:val="22"/>
                <w:szCs w:val="22"/>
              </w:rPr>
              <w:t>总计</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大写</w:t>
            </w:r>
            <w:r>
              <w:rPr>
                <w:rFonts w:hint="eastAsia" w:ascii="宋体" w:hAnsi="宋体" w:cs="宋体"/>
                <w:color w:val="auto"/>
                <w:sz w:val="22"/>
                <w:szCs w:val="22"/>
                <w:lang w:eastAsia="zh-CN"/>
              </w:rPr>
              <w:t>）</w:t>
            </w:r>
            <w:r>
              <w:rPr>
                <w:rFonts w:hint="eastAsia" w:ascii="宋体" w:hAnsi="宋体" w:eastAsia="宋体" w:cs="宋体"/>
                <w:color w:val="auto"/>
                <w:sz w:val="22"/>
                <w:szCs w:val="22"/>
              </w:rPr>
              <w:t>：拾柒万柒仟捌佰叁拾圆整</w:t>
            </w:r>
          </w:p>
        </w:tc>
      </w:tr>
    </w:tbl>
    <w:p w14:paraId="7573C34F">
      <w:pPr>
        <w:pStyle w:val="2"/>
        <w:rPr>
          <w:rFonts w:hint="eastAsia" w:ascii="宋体" w:hAnsi="宋体" w:eastAsia="宋体" w:cs="黑体"/>
          <w:b w:val="0"/>
          <w:kern w:val="2"/>
          <w:sz w:val="24"/>
          <w:szCs w:val="22"/>
          <w:highlight w:val="green"/>
          <w:lang w:val="en-US" w:eastAsia="zh-CN" w:bidi="ar-SA"/>
        </w:rPr>
      </w:pPr>
      <w:r>
        <w:rPr>
          <w:rFonts w:hint="eastAsia" w:ascii="宋体" w:hAnsi="宋体" w:eastAsia="宋体" w:cs="黑体"/>
          <w:b w:val="0"/>
          <w:kern w:val="2"/>
          <w:sz w:val="24"/>
          <w:szCs w:val="22"/>
          <w:highlight w:val="green"/>
          <w:lang w:val="en-US" w:eastAsia="zh-CN" w:bidi="ar-SA"/>
        </w:rPr>
        <w:t>注：压力蒸汽灭菌极速生物阅读器、环氧乙烷快速生物阅读器产权归中标人所有（招标人仅拥有使用权），所涉及的所有费用包括但不限于维修维保费等均由各中标人负责。所提供的生物阅读器必须满足招标人实际需要，如不满足，中标人须根据招标人实际需求进行调整。</w:t>
      </w:r>
    </w:p>
    <w:p w14:paraId="6024366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ascii="宋体" w:hAnsi="宋体" w:eastAsia="宋体" w:cs="宋体"/>
          <w:szCs w:val="21"/>
        </w:rPr>
      </w:pPr>
      <w:bookmarkStart w:id="0" w:name="_Toc26868"/>
    </w:p>
    <w:p w14:paraId="0991F562">
      <w:pPr>
        <w:pStyle w:val="2"/>
        <w:spacing w:before="0" w:after="0" w:line="240" w:lineRule="auto"/>
      </w:pPr>
    </w:p>
    <w:p w14:paraId="5DD3DCC3">
      <w:pPr>
        <w:tabs>
          <w:tab w:val="left" w:pos="1050"/>
        </w:tabs>
        <w:spacing w:line="460" w:lineRule="exact"/>
        <w:jc w:val="center"/>
        <w:outlineLvl w:val="2"/>
        <w:rPr>
          <w:rFonts w:hint="eastAsia"/>
          <w:b/>
          <w:sz w:val="28"/>
          <w:szCs w:val="28"/>
        </w:rPr>
      </w:pPr>
      <w:r>
        <w:rPr>
          <w:rFonts w:hint="eastAsia"/>
          <w:b/>
          <w:sz w:val="28"/>
          <w:szCs w:val="28"/>
          <w:lang w:eastAsia="zh-CN"/>
        </w:rPr>
        <w:t>（</w:t>
      </w:r>
      <w:r>
        <w:rPr>
          <w:rFonts w:hint="eastAsia"/>
          <w:b/>
          <w:sz w:val="28"/>
          <w:szCs w:val="28"/>
          <w:lang w:val="en-US" w:eastAsia="zh-CN"/>
        </w:rPr>
        <w:t>二</w:t>
      </w:r>
      <w:r>
        <w:rPr>
          <w:rFonts w:hint="eastAsia"/>
          <w:b/>
          <w:sz w:val="28"/>
          <w:szCs w:val="28"/>
          <w:lang w:eastAsia="zh-CN"/>
        </w:rPr>
        <w:t>）</w:t>
      </w:r>
      <w:r>
        <w:rPr>
          <w:rFonts w:hint="eastAsia"/>
          <w:b/>
          <w:sz w:val="28"/>
          <w:szCs w:val="28"/>
        </w:rPr>
        <w:t>商务要求</w:t>
      </w:r>
    </w:p>
    <w:p w14:paraId="2E1D452A">
      <w:pPr>
        <w:tabs>
          <w:tab w:val="left" w:pos="7020"/>
        </w:tabs>
        <w:spacing w:line="440" w:lineRule="exact"/>
        <w:ind w:firstLine="480" w:firstLineChars="200"/>
        <w:rPr>
          <w:rFonts w:hint="eastAsia" w:ascii="宋体" w:hAnsi="宋体"/>
          <w:sz w:val="24"/>
        </w:rPr>
      </w:pPr>
    </w:p>
    <w:p w14:paraId="02E78C20">
      <w:pPr>
        <w:tabs>
          <w:tab w:val="left" w:pos="7020"/>
        </w:tabs>
        <w:spacing w:line="440" w:lineRule="exact"/>
        <w:ind w:firstLine="480" w:firstLineChars="200"/>
        <w:rPr>
          <w:rFonts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0AE03813">
      <w:pPr>
        <w:snapToGrid w:val="0"/>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2、所有货物必须符合国家相关强制性要求。</w:t>
      </w:r>
    </w:p>
    <w:p w14:paraId="35CDB87C">
      <w:pPr>
        <w:snapToGrid w:val="0"/>
        <w:spacing w:line="440" w:lineRule="exact"/>
        <w:ind w:firstLine="480" w:firstLineChars="200"/>
        <w:rPr>
          <w:rFonts w:hint="eastAsia" w:ascii="宋体" w:hAnsi="宋体" w:eastAsia="宋体"/>
          <w:sz w:val="24"/>
          <w:highlight w:val="none"/>
          <w:lang w:val="en-US" w:eastAsia="zh-CN"/>
        </w:rPr>
      </w:pPr>
      <w:r>
        <w:rPr>
          <w:rFonts w:hint="eastAsia" w:ascii="宋体" w:hAnsi="宋体" w:eastAsia="宋体" w:cs="Times New Roman"/>
          <w:sz w:val="24"/>
          <w:highlight w:val="none"/>
          <w:lang w:val="en-US" w:eastAsia="zh-CN"/>
        </w:rPr>
        <w:t>合同签订之后，供货前，中标人须向采购人提供所报其他医疗器械符合以下条件之一的相应材料，否则采购人有权解</w:t>
      </w:r>
      <w:r>
        <w:rPr>
          <w:rFonts w:hint="eastAsia" w:ascii="宋体" w:hAnsi="宋体" w:eastAsia="宋体"/>
          <w:sz w:val="24"/>
          <w:highlight w:val="none"/>
          <w:lang w:val="en-US" w:eastAsia="zh-CN"/>
        </w:rPr>
        <w:t>除合同：</w:t>
      </w:r>
    </w:p>
    <w:p w14:paraId="772E9952">
      <w:pPr>
        <w:snapToGrid w:val="0"/>
        <w:spacing w:line="440" w:lineRule="exact"/>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（1）条件一：所报产品为第二、三类医疗器械的，提供所报医疗器械的医疗器械注册证扫描件（在有效期内）；</w:t>
      </w:r>
    </w:p>
    <w:p w14:paraId="5D96ECE2">
      <w:pPr>
        <w:snapToGrid w:val="0"/>
        <w:spacing w:line="440" w:lineRule="exact"/>
        <w:ind w:firstLine="480" w:firstLineChars="200"/>
        <w:rPr>
          <w:rFonts w:hint="default" w:ascii="宋体" w:hAnsi="宋体" w:eastAsia="宋体"/>
          <w:sz w:val="24"/>
          <w:highlight w:val="none"/>
          <w:lang w:val="en-US" w:eastAsia="zh-CN"/>
        </w:rPr>
      </w:pPr>
      <w:r>
        <w:rPr>
          <w:rFonts w:hint="eastAsia" w:ascii="宋体" w:hAnsi="宋体" w:eastAsia="宋体"/>
          <w:sz w:val="24"/>
          <w:highlight w:val="none"/>
          <w:lang w:val="en-US" w:eastAsia="zh-CN"/>
        </w:rPr>
        <w:t>（2）条件二：所报产品为第一类医疗器械的，提供所报医疗器械的第一类医疗器械备案信息证明材料扫描件。</w:t>
      </w:r>
    </w:p>
    <w:p w14:paraId="243BE68A">
      <w:pPr>
        <w:tabs>
          <w:tab w:val="left" w:pos="7020"/>
        </w:tabs>
        <w:spacing w:line="440" w:lineRule="exact"/>
        <w:ind w:firstLine="480" w:firstLineChars="200"/>
        <w:rPr>
          <w:rFonts w:ascii="宋体" w:hAnsi="宋体"/>
          <w:sz w:val="24"/>
        </w:rPr>
      </w:pPr>
      <w:r>
        <w:rPr>
          <w:rFonts w:hint="eastAsia" w:ascii="宋体" w:hAnsi="宋体"/>
          <w:sz w:val="24"/>
        </w:rPr>
        <w:t>3、技术支持</w:t>
      </w:r>
    </w:p>
    <w:p w14:paraId="73905C20">
      <w:pPr>
        <w:tabs>
          <w:tab w:val="left" w:pos="7020"/>
        </w:tabs>
        <w:spacing w:line="440" w:lineRule="exact"/>
        <w:ind w:firstLine="480" w:firstLineChars="200"/>
        <w:rPr>
          <w:rFonts w:ascii="宋体" w:hAnsi="宋体"/>
          <w:sz w:val="24"/>
        </w:rPr>
      </w:pPr>
      <w:r>
        <w:rPr>
          <w:rFonts w:hint="eastAsia" w:ascii="宋体" w:hAnsi="宋体"/>
          <w:sz w:val="24"/>
        </w:rPr>
        <w:t>3.1中标人应向招标人提供全方位及时而有效的技术支持和服务。</w:t>
      </w:r>
    </w:p>
    <w:p w14:paraId="76432D99">
      <w:pPr>
        <w:tabs>
          <w:tab w:val="left" w:pos="7020"/>
        </w:tabs>
        <w:spacing w:line="440" w:lineRule="exact"/>
        <w:ind w:firstLine="480" w:firstLineChars="200"/>
        <w:rPr>
          <w:rFonts w:ascii="宋体" w:hAnsi="宋体"/>
          <w:sz w:val="24"/>
        </w:rPr>
      </w:pPr>
      <w:r>
        <w:rPr>
          <w:rFonts w:hint="eastAsia" w:ascii="宋体" w:hAnsi="宋体"/>
          <w:sz w:val="24"/>
        </w:rPr>
        <w:t>3.2中标人负责供货、运输并安装调试完毕。</w:t>
      </w:r>
    </w:p>
    <w:p w14:paraId="4001D779">
      <w:pPr>
        <w:snapToGrid w:val="0"/>
        <w:spacing w:line="440" w:lineRule="exact"/>
        <w:ind w:firstLine="480" w:firstLineChars="200"/>
        <w:rPr>
          <w:rFonts w:hint="eastAsia" w:ascii="宋体" w:hAnsi="宋体"/>
          <w:sz w:val="24"/>
        </w:rPr>
      </w:pPr>
      <w:r>
        <w:rPr>
          <w:rFonts w:hint="eastAsia" w:ascii="宋体" w:hAnsi="宋体"/>
          <w:sz w:val="24"/>
        </w:rPr>
        <w:t>3.3 如中标人发生兼并、重组，招标人本项目的供货、安装、维护保养等相关工作必须由新组建的公司按招标文件及投标文件承担相应的义务。</w:t>
      </w:r>
    </w:p>
    <w:p w14:paraId="475FB7A0">
      <w:pPr>
        <w:snapToGrid w:val="0"/>
        <w:spacing w:line="440" w:lineRule="exact"/>
        <w:ind w:firstLine="480" w:firstLineChars="200"/>
        <w:rPr>
          <w:rFonts w:hint="eastAsia" w:ascii="宋体" w:hAnsi="宋体"/>
          <w:sz w:val="24"/>
        </w:rPr>
      </w:pPr>
      <w:r>
        <w:rPr>
          <w:rFonts w:hint="eastAsia" w:ascii="宋体" w:hAnsi="宋体"/>
          <w:sz w:val="24"/>
        </w:rPr>
        <w:t>3.4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500229C2">
      <w:pPr>
        <w:snapToGrid w:val="0"/>
        <w:spacing w:line="440" w:lineRule="exact"/>
        <w:ind w:firstLine="480" w:firstLineChars="200"/>
        <w:rPr>
          <w:rFonts w:hint="eastAsia" w:ascii="宋体" w:hAnsi="宋体" w:eastAsia="宋体"/>
          <w:sz w:val="24"/>
          <w:lang w:eastAsia="zh-CN"/>
        </w:rPr>
      </w:pPr>
      <w:r>
        <w:rPr>
          <w:rFonts w:hint="eastAsia" w:ascii="宋体" w:hAnsi="宋体"/>
          <w:sz w:val="24"/>
        </w:rPr>
        <w:t>3.5 投标文件中为本项目配备的人员力量，在合同履行期间，中标人须按采购人要求到达本项目现场提供相应服务，否则采购人有权解除采购合同</w:t>
      </w:r>
      <w:r>
        <w:rPr>
          <w:rFonts w:hint="eastAsia" w:ascii="宋体" w:hAnsi="宋体"/>
          <w:sz w:val="24"/>
          <w:lang w:eastAsia="zh-CN"/>
        </w:rPr>
        <w:t>。</w:t>
      </w:r>
    </w:p>
    <w:p w14:paraId="18989ED8">
      <w:pPr>
        <w:snapToGrid w:val="0"/>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产品有效期、服务期</w:t>
      </w:r>
      <w:r>
        <w:rPr>
          <w:rFonts w:hint="eastAsia" w:ascii="宋体" w:hAnsi="宋体"/>
          <w:sz w:val="24"/>
        </w:rPr>
        <w:t xml:space="preserve">及售后服务：                                        </w:t>
      </w:r>
    </w:p>
    <w:p w14:paraId="6C7E8CB9">
      <w:pPr>
        <w:spacing w:line="44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4</w:t>
      </w:r>
      <w:r>
        <w:rPr>
          <w:rFonts w:hint="eastAsia" w:ascii="宋体" w:hAnsi="宋体"/>
          <w:sz w:val="24"/>
          <w:highlight w:val="yellow"/>
        </w:rPr>
        <w:t>.</w:t>
      </w:r>
      <w:r>
        <w:rPr>
          <w:rFonts w:hint="eastAsia" w:ascii="宋体" w:hAnsi="宋体"/>
          <w:sz w:val="24"/>
          <w:highlight w:val="yellow"/>
          <w:lang w:val="en-US" w:eastAsia="zh-CN"/>
        </w:rPr>
        <w:t>1产品有效期：中标人须提供产品</w:t>
      </w:r>
      <w:r>
        <w:rPr>
          <w:rFonts w:hint="eastAsia" w:ascii="宋体" w:hAnsi="宋体"/>
          <w:color w:val="FF0000"/>
          <w:sz w:val="24"/>
          <w:highlight w:val="yellow"/>
          <w:u w:val="single"/>
          <w:lang w:val="en-US" w:eastAsia="zh-CN"/>
        </w:rPr>
        <w:t>至少1年</w:t>
      </w:r>
      <w:r>
        <w:rPr>
          <w:rFonts w:hint="eastAsia" w:ascii="宋体" w:hAnsi="宋体"/>
          <w:sz w:val="24"/>
          <w:highlight w:val="yellow"/>
          <w:lang w:val="en-US" w:eastAsia="zh-CN"/>
        </w:rPr>
        <w:t>的有效期（自验收合格之日起计算），所报货物的有效期须与文件中规定的有效期相一致，应符合产品技术要求。中标人</w:t>
      </w:r>
      <w:r>
        <w:rPr>
          <w:rFonts w:hint="eastAsia" w:ascii="宋体" w:hAnsi="宋体" w:eastAsia="宋体" w:cs="Times New Roman"/>
          <w:sz w:val="24"/>
          <w:highlight w:val="yellow"/>
          <w:lang w:val="en-US" w:eastAsia="zh-CN"/>
        </w:rPr>
        <w:t>保证所供货物和服务完全符合本合同规定的规格、性能，货物和服务质量及要求满足相关标准。</w:t>
      </w:r>
    </w:p>
    <w:p w14:paraId="4488739B">
      <w:pPr>
        <w:spacing w:line="44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服务期：服务期2年，合同履行满1年后，临床反馈使用良好，延长合同有效期1年。</w:t>
      </w:r>
    </w:p>
    <w:p w14:paraId="75722488">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质保期内出现质量问题，成交供应商负责包修、包退、包换，所有质保费用均已包含在总报价中。</w:t>
      </w:r>
    </w:p>
    <w:p w14:paraId="12C72B0B">
      <w:pPr>
        <w:snapToGrid w:val="0"/>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 xml:space="preserve">.2中标人须设有维修服务电话，负责解答用户在货物使用中遇到的问题，及时提出解决问题的建议和操作方法。                                                                        </w:t>
      </w:r>
    </w:p>
    <w:p w14:paraId="42E78D44">
      <w:pPr>
        <w:snapToGrid w:val="0"/>
        <w:spacing w:line="440" w:lineRule="exact"/>
        <w:ind w:firstLine="480" w:firstLineChars="200"/>
        <w:rPr>
          <w:rFonts w:hint="eastAsia" w:ascii="宋体" w:hAnsi="宋体" w:cs="宋体"/>
          <w:sz w:val="24"/>
          <w:szCs w:val="24"/>
        </w:rPr>
      </w:pPr>
      <w:r>
        <w:rPr>
          <w:rFonts w:hint="eastAsia" w:ascii="宋体" w:hAnsi="宋体"/>
          <w:sz w:val="24"/>
          <w:lang w:val="en-US" w:eastAsia="zh-CN"/>
        </w:rPr>
        <w:t>4</w:t>
      </w:r>
      <w:r>
        <w:rPr>
          <w:rFonts w:hint="eastAsia" w:ascii="宋体" w:hAnsi="宋体"/>
          <w:sz w:val="24"/>
        </w:rPr>
        <w:t>.3售后服务响应时间</w:t>
      </w:r>
      <w:r>
        <w:rPr>
          <w:rFonts w:hint="eastAsia" w:ascii="宋体" w:hAnsi="宋体"/>
          <w:sz w:val="24"/>
          <w:szCs w:val="24"/>
        </w:rPr>
        <w:t>：</w:t>
      </w:r>
      <w:r>
        <w:rPr>
          <w:rFonts w:hint="eastAsia" w:ascii="宋体" w:hAnsi="宋体" w:cs="宋体"/>
          <w:sz w:val="24"/>
          <w:szCs w:val="24"/>
        </w:rPr>
        <w:t>如货物出现质量问题，</w:t>
      </w:r>
      <w:r>
        <w:rPr>
          <w:rFonts w:hint="eastAsia" w:ascii="宋体" w:hAnsi="宋体"/>
          <w:sz w:val="24"/>
        </w:rPr>
        <w:t>中标人</w:t>
      </w:r>
      <w:r>
        <w:rPr>
          <w:rFonts w:hint="eastAsia" w:ascii="宋体" w:hAnsi="宋体" w:cs="宋体"/>
          <w:sz w:val="24"/>
          <w:szCs w:val="24"/>
        </w:rPr>
        <w:t>须</w:t>
      </w:r>
      <w:r>
        <w:rPr>
          <w:rFonts w:hint="eastAsia" w:ascii="宋体" w:hAnsi="宋体" w:cs="宋体"/>
          <w:color w:val="FF0000"/>
          <w:sz w:val="24"/>
          <w:szCs w:val="24"/>
          <w:u w:val="single"/>
        </w:rPr>
        <w:t>1小时内</w:t>
      </w:r>
      <w:r>
        <w:rPr>
          <w:rFonts w:hint="eastAsia" w:ascii="宋体" w:hAnsi="宋体" w:cs="宋体"/>
          <w:sz w:val="24"/>
          <w:szCs w:val="24"/>
        </w:rPr>
        <w:t>响应,电话响应无法解决，</w:t>
      </w:r>
      <w:r>
        <w:rPr>
          <w:rFonts w:hint="eastAsia" w:ascii="宋体" w:hAnsi="宋体"/>
          <w:sz w:val="24"/>
        </w:rPr>
        <w:t>中标人</w:t>
      </w:r>
      <w:r>
        <w:rPr>
          <w:rFonts w:hint="eastAsia" w:ascii="宋体" w:hAnsi="宋体" w:cs="宋体"/>
          <w:sz w:val="24"/>
          <w:szCs w:val="24"/>
        </w:rPr>
        <w:t>必须在接报修电话</w:t>
      </w:r>
      <w:r>
        <w:rPr>
          <w:rFonts w:hint="eastAsia" w:ascii="宋体" w:hAnsi="宋体" w:cs="宋体"/>
          <w:color w:val="FF0000"/>
          <w:sz w:val="24"/>
          <w:szCs w:val="24"/>
          <w:u w:val="single"/>
        </w:rPr>
        <w:t>24小时</w:t>
      </w:r>
      <w:r>
        <w:rPr>
          <w:rFonts w:hint="eastAsia" w:ascii="宋体" w:hAnsi="宋体" w:cs="宋体"/>
          <w:sz w:val="24"/>
          <w:szCs w:val="24"/>
        </w:rPr>
        <w:t>内到达现场并在</w:t>
      </w:r>
      <w:r>
        <w:rPr>
          <w:rFonts w:hint="eastAsia" w:ascii="宋体" w:hAnsi="宋体" w:cs="宋体"/>
          <w:color w:val="FF0000"/>
          <w:sz w:val="24"/>
          <w:szCs w:val="24"/>
          <w:u w:val="single"/>
        </w:rPr>
        <w:t>48小时</w:t>
      </w:r>
      <w:r>
        <w:rPr>
          <w:rFonts w:hint="eastAsia" w:ascii="宋体" w:hAnsi="宋体" w:cs="宋体"/>
          <w:sz w:val="24"/>
          <w:szCs w:val="24"/>
        </w:rPr>
        <w:t>内解决问题。如不能解决的，</w:t>
      </w:r>
      <w:r>
        <w:rPr>
          <w:rFonts w:hint="eastAsia" w:ascii="宋体" w:hAnsi="宋体"/>
          <w:sz w:val="24"/>
        </w:rPr>
        <w:t>中标人</w:t>
      </w:r>
      <w:r>
        <w:rPr>
          <w:rFonts w:hint="eastAsia" w:ascii="宋体" w:hAnsi="宋体" w:cs="宋体"/>
          <w:sz w:val="24"/>
          <w:szCs w:val="24"/>
        </w:rPr>
        <w:t>需提供备品备件供采购人使用。质保期内如货物出现质量问题，</w:t>
      </w:r>
      <w:r>
        <w:rPr>
          <w:rFonts w:hint="eastAsia" w:ascii="宋体" w:hAnsi="宋体"/>
          <w:sz w:val="24"/>
        </w:rPr>
        <w:t>中标人</w:t>
      </w:r>
      <w:r>
        <w:rPr>
          <w:rFonts w:hint="eastAsia" w:ascii="宋体" w:hAnsi="宋体" w:cs="宋体"/>
          <w:sz w:val="24"/>
          <w:szCs w:val="24"/>
        </w:rPr>
        <w:t>负责修复，对于无法修复的情况，</w:t>
      </w:r>
      <w:r>
        <w:rPr>
          <w:rFonts w:hint="eastAsia" w:ascii="宋体" w:hAnsi="宋体"/>
          <w:sz w:val="24"/>
        </w:rPr>
        <w:t>中标人</w:t>
      </w:r>
      <w:r>
        <w:rPr>
          <w:rFonts w:hint="eastAsia" w:ascii="宋体" w:hAnsi="宋体" w:cs="宋体"/>
          <w:sz w:val="24"/>
          <w:szCs w:val="24"/>
        </w:rPr>
        <w:t>负责</w:t>
      </w:r>
      <w:r>
        <w:rPr>
          <w:rFonts w:hint="eastAsia" w:ascii="宋体" w:hAnsi="宋体" w:cs="宋体"/>
          <w:sz w:val="24"/>
          <w:szCs w:val="24"/>
          <w:lang w:val="en-US" w:eastAsia="zh-CN"/>
        </w:rPr>
        <w:t>免费</w:t>
      </w:r>
      <w:r>
        <w:rPr>
          <w:rFonts w:hint="eastAsia" w:ascii="宋体" w:hAnsi="宋体" w:cs="宋体"/>
          <w:sz w:val="24"/>
          <w:szCs w:val="24"/>
        </w:rPr>
        <w:t>更换。</w:t>
      </w:r>
    </w:p>
    <w:p w14:paraId="28D6F32A">
      <w:pPr>
        <w:numPr>
          <w:ilvl w:val="0"/>
          <w:numId w:val="0"/>
        </w:numPr>
        <w:snapToGrid w:val="0"/>
        <w:spacing w:line="440" w:lineRule="exact"/>
        <w:ind w:firstLine="480" w:firstLineChars="200"/>
        <w:rPr>
          <w:rFonts w:hint="eastAsia" w:ascii="宋体" w:hAnsi="宋体"/>
          <w:sz w:val="24"/>
        </w:rPr>
      </w:pPr>
      <w:r>
        <w:rPr>
          <w:rFonts w:hint="eastAsia" w:ascii="宋体" w:hAnsi="宋体" w:eastAsia="宋体" w:cs="Times New Roman"/>
          <w:kern w:val="2"/>
          <w:sz w:val="24"/>
          <w:szCs w:val="24"/>
          <w:lang w:val="en-US" w:eastAsia="zh-CN" w:bidi="ar-SA"/>
        </w:rPr>
        <w:t>5、</w:t>
      </w:r>
      <w:r>
        <w:rPr>
          <w:rFonts w:hint="eastAsia" w:ascii="宋体" w:hAnsi="宋体"/>
          <w:sz w:val="24"/>
        </w:rPr>
        <w:t>培训：</w:t>
      </w:r>
    </w:p>
    <w:p w14:paraId="328B21A3">
      <w:pPr>
        <w:numPr>
          <w:ilvl w:val="0"/>
          <w:numId w:val="0"/>
        </w:numPr>
        <w:snapToGrid w:val="0"/>
        <w:spacing w:line="440" w:lineRule="exact"/>
        <w:ind w:firstLine="480" w:firstLineChars="200"/>
        <w:rPr>
          <w:rFonts w:hint="eastAsia" w:ascii="宋体" w:hAnsi="宋体" w:eastAsia="宋体"/>
          <w:sz w:val="24"/>
          <w:lang w:eastAsia="zh-CN"/>
        </w:rPr>
      </w:pPr>
      <w:r>
        <w:rPr>
          <w:rFonts w:hint="eastAsia" w:ascii="宋体" w:hAnsi="宋体" w:cs="Times New Roman"/>
          <w:kern w:val="2"/>
          <w:sz w:val="24"/>
          <w:szCs w:val="24"/>
          <w:lang w:val="en-US" w:eastAsia="zh-CN" w:bidi="ar-SA"/>
        </w:rPr>
        <w:t>5.1</w:t>
      </w:r>
      <w:r>
        <w:rPr>
          <w:rFonts w:hint="eastAsia" w:ascii="宋体" w:hAnsi="宋体"/>
          <w:sz w:val="24"/>
        </w:rPr>
        <w:t>中标人应对招标人的操作人员免费提供现场培训</w:t>
      </w:r>
      <w:r>
        <w:rPr>
          <w:rFonts w:hint="eastAsia" w:ascii="宋体" w:hAnsi="宋体"/>
          <w:sz w:val="24"/>
          <w:lang w:eastAsia="zh-CN"/>
        </w:rPr>
        <w:t>。</w:t>
      </w:r>
    </w:p>
    <w:p w14:paraId="58BD2B1F">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5.2现场培训能够根据用户需要，合理安排，使用户能够全面掌握设备的工作原理，熟练独立操作设备，并能够对设备进行日常维护与保养，简单故障诊断与排除。</w:t>
      </w:r>
    </w:p>
    <w:p w14:paraId="1B42988B">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 xml:space="preserve">5.3以上培训费用含在总报价中。 </w:t>
      </w:r>
    </w:p>
    <w:p w14:paraId="4914568D">
      <w:pPr>
        <w:spacing w:line="440" w:lineRule="exact"/>
        <w:ind w:firstLine="480" w:firstLineChars="200"/>
        <w:rPr>
          <w:rFonts w:ascii="宋体" w:hAnsi="宋体"/>
          <w:sz w:val="24"/>
          <w:highlight w:val="yellow"/>
        </w:rPr>
      </w:pPr>
      <w:r>
        <w:rPr>
          <w:rFonts w:hint="eastAsia" w:ascii="宋体" w:hAnsi="宋体"/>
          <w:sz w:val="24"/>
          <w:highlight w:val="yellow"/>
          <w:lang w:val="en-US" w:eastAsia="zh-CN"/>
        </w:rPr>
        <w:t>6、</w:t>
      </w:r>
      <w:r>
        <w:rPr>
          <w:rFonts w:hint="eastAsia" w:ascii="宋体" w:hAnsi="宋体"/>
          <w:sz w:val="24"/>
          <w:highlight w:val="yellow"/>
        </w:rPr>
        <w:t>供货期：分批交货，合同签订后，接</w:t>
      </w:r>
      <w:r>
        <w:rPr>
          <w:rFonts w:hint="eastAsia" w:ascii="宋体" w:hAnsi="宋体"/>
          <w:sz w:val="24"/>
          <w:highlight w:val="yellow"/>
          <w:lang w:val="en-US" w:eastAsia="zh-CN"/>
        </w:rPr>
        <w:t>招标人</w:t>
      </w:r>
      <w:r>
        <w:rPr>
          <w:rFonts w:hint="eastAsia" w:ascii="宋体" w:hAnsi="宋体"/>
          <w:sz w:val="24"/>
          <w:highlight w:val="yellow"/>
        </w:rPr>
        <w:t>书面通知之日起 7日内交货。</w:t>
      </w:r>
    </w:p>
    <w:p w14:paraId="54E0CEF7">
      <w:pPr>
        <w:spacing w:line="440" w:lineRule="exact"/>
        <w:ind w:firstLine="480" w:firstLineChars="200"/>
        <w:rPr>
          <w:rFonts w:hint="eastAsia" w:ascii="宋体" w:hAnsi="宋体"/>
          <w:sz w:val="24"/>
          <w:highlight w:val="yellow"/>
        </w:rPr>
      </w:pPr>
      <w:r>
        <w:rPr>
          <w:rFonts w:hint="eastAsia" w:ascii="宋体" w:hAnsi="宋体"/>
          <w:sz w:val="24"/>
          <w:highlight w:val="yellow"/>
          <w:lang w:val="en-US" w:eastAsia="zh-CN"/>
        </w:rPr>
        <w:t>7、</w:t>
      </w:r>
      <w:r>
        <w:rPr>
          <w:rFonts w:hint="eastAsia" w:ascii="宋体" w:hAnsi="宋体"/>
          <w:sz w:val="24"/>
          <w:highlight w:val="yellow"/>
        </w:rPr>
        <w:t>供货地点：</w:t>
      </w:r>
      <w:r>
        <w:rPr>
          <w:rFonts w:hint="eastAsia" w:ascii="宋体" w:hAnsi="宋体"/>
          <w:sz w:val="24"/>
          <w:highlight w:val="yellow"/>
          <w:lang w:val="en-US" w:eastAsia="zh-CN"/>
        </w:rPr>
        <w:t>马鞍山市（中标人</w:t>
      </w:r>
      <w:r>
        <w:rPr>
          <w:rFonts w:hint="eastAsia" w:ascii="宋体" w:hAnsi="宋体"/>
          <w:sz w:val="24"/>
          <w:highlight w:val="yellow"/>
        </w:rPr>
        <w:t>指定地点</w:t>
      </w:r>
      <w:r>
        <w:rPr>
          <w:rFonts w:hint="eastAsia" w:ascii="宋体" w:hAnsi="宋体"/>
          <w:sz w:val="24"/>
          <w:highlight w:val="yellow"/>
          <w:lang w:val="en-US" w:eastAsia="zh-CN"/>
        </w:rPr>
        <w:t>）</w:t>
      </w:r>
      <w:r>
        <w:rPr>
          <w:rFonts w:hint="eastAsia" w:ascii="宋体" w:hAnsi="宋体"/>
          <w:sz w:val="24"/>
          <w:highlight w:val="yellow"/>
        </w:rPr>
        <w:t>。</w:t>
      </w:r>
    </w:p>
    <w:p w14:paraId="0E107689">
      <w:pPr>
        <w:tabs>
          <w:tab w:val="left" w:pos="7020"/>
        </w:tabs>
        <w:spacing w:line="440" w:lineRule="exact"/>
        <w:ind w:firstLine="480" w:firstLineChars="200"/>
        <w:rPr>
          <w:rFonts w:ascii="宋体" w:hAnsi="宋体"/>
          <w:sz w:val="24"/>
        </w:rPr>
      </w:pPr>
      <w:r>
        <w:rPr>
          <w:rFonts w:hint="eastAsia" w:ascii="宋体" w:hAnsi="宋体"/>
          <w:bCs/>
          <w:sz w:val="24"/>
          <w:lang w:val="en-US" w:eastAsia="zh-CN"/>
        </w:rPr>
        <w:t>8</w:t>
      </w:r>
      <w:r>
        <w:rPr>
          <w:rFonts w:hint="eastAsia" w:ascii="宋体" w:hAnsi="宋体"/>
          <w:sz w:val="24"/>
        </w:rPr>
        <w:t>、验收：</w:t>
      </w:r>
    </w:p>
    <w:p w14:paraId="12CD321D">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54285CF6">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8.2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DD8DF56">
      <w:pPr>
        <w:tabs>
          <w:tab w:val="left" w:pos="7020"/>
        </w:tabs>
        <w:spacing w:line="440" w:lineRule="exact"/>
        <w:ind w:firstLine="480" w:firstLineChars="200"/>
        <w:outlineLvl w:val="0"/>
        <w:rPr>
          <w:rFonts w:ascii="宋体" w:hAnsi="宋体"/>
          <w:sz w:val="24"/>
        </w:rPr>
      </w:pPr>
      <w:r>
        <w:rPr>
          <w:rFonts w:hint="eastAsia" w:ascii="宋体" w:hAnsi="宋体"/>
          <w:sz w:val="24"/>
          <w:lang w:val="en-US" w:eastAsia="zh-CN"/>
        </w:rPr>
        <w:t>8.3成交供应商应向采购人提供安装调试过程中的各种文档资料,以便采购人今后能掌握操作和维护方法。</w:t>
      </w:r>
      <w:r>
        <w:rPr>
          <w:rFonts w:hint="eastAsia" w:ascii="宋体" w:hAnsi="宋体"/>
          <w:sz w:val="24"/>
        </w:rPr>
        <w:t xml:space="preserve">                                                </w:t>
      </w:r>
    </w:p>
    <w:p w14:paraId="0B533B29">
      <w:pPr>
        <w:numPr>
          <w:ilvl w:val="0"/>
          <w:numId w:val="2"/>
        </w:numPr>
        <w:spacing w:line="440" w:lineRule="exact"/>
        <w:ind w:firstLine="480" w:firstLineChars="200"/>
        <w:outlineLvl w:val="0"/>
        <w:rPr>
          <w:rFonts w:hint="eastAsia" w:ascii="宋体" w:hAnsi="宋体"/>
          <w:sz w:val="24"/>
          <w:highlight w:val="yellow"/>
        </w:rPr>
      </w:pPr>
      <w:r>
        <w:rPr>
          <w:rFonts w:hint="eastAsia" w:ascii="宋体" w:hAnsi="宋体"/>
          <w:sz w:val="24"/>
          <w:highlight w:val="yellow"/>
        </w:rPr>
        <w:t>付款方式：按货物供应批次进行付款，每批货到验收合格12个月后支付合同金额的100%。</w:t>
      </w:r>
    </w:p>
    <w:p w14:paraId="71EE9548">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中标人承诺耗材在使用过程中如有国家、省、市相关政策要求，医院有权单方面终止采购合同。例如：耗材纳入国采、区域联盟带量采购、省带量范围等情况，医院将执行相关文件的采购品种，终止原采购合同。</w:t>
      </w:r>
    </w:p>
    <w:p w14:paraId="419B08F7">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11、耗材在使用过程中如耗材不良事件造成患者或医院损失由耗材中标供应商全部承担。如不良事件发生率达3‰，医院有权单方面终止采购合同。</w:t>
      </w:r>
    </w:p>
    <w:p w14:paraId="02B7B1E1">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12、耗材发生滞销，如三个月及以上无科室申领使用，或月使用量减少50%及以上，医院有权要求退货，并不予支付需退货的货款，耗材中标供应商无条件执行，否则医院有权单方面终止采购合同。</w:t>
      </w:r>
    </w:p>
    <w:p w14:paraId="5F613FE4">
      <w:pPr>
        <w:spacing w:line="520" w:lineRule="exact"/>
        <w:ind w:firstLine="480" w:firstLineChars="200"/>
        <w:outlineLvl w:val="0"/>
        <w:rPr>
          <w:rFonts w:hint="default"/>
          <w:sz w:val="28"/>
          <w:szCs w:val="28"/>
          <w:lang w:val="en-US" w:eastAsia="zh-CN"/>
        </w:rPr>
      </w:pPr>
      <w:r>
        <w:rPr>
          <w:rFonts w:hint="eastAsia" w:ascii="宋体" w:hAnsi="宋体" w:eastAsia="宋体"/>
          <w:sz w:val="24"/>
          <w:lang w:val="en-US" w:eastAsia="zh-CN"/>
        </w:rPr>
        <w:t>1</w:t>
      </w:r>
      <w:r>
        <w:rPr>
          <w:rFonts w:hint="eastAsia" w:ascii="宋体" w:hAnsi="宋体"/>
          <w:sz w:val="24"/>
          <w:lang w:val="en-US" w:eastAsia="zh-CN"/>
        </w:rPr>
        <w:t>3</w:t>
      </w:r>
      <w:r>
        <w:rPr>
          <w:rFonts w:hint="eastAsia" w:ascii="宋体" w:hAnsi="宋体" w:eastAsia="宋体"/>
          <w:sz w:val="24"/>
          <w:lang w:val="en-US" w:eastAsia="zh-CN"/>
        </w:rPr>
        <w:t>、本项目总报价包含了履行本项目所有内容的全部费用，及所有价内价外税金及合理利润等。</w:t>
      </w:r>
      <w:bookmarkEnd w:id="0"/>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E571">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12CAEC37">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EEA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886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3CFC4"/>
    <w:multiLevelType w:val="singleLevel"/>
    <w:tmpl w:val="2063CFC4"/>
    <w:lvl w:ilvl="0" w:tentative="0">
      <w:start w:val="1"/>
      <w:numFmt w:val="decimal"/>
      <w:lvlText w:val="%1."/>
      <w:lvlJc w:val="left"/>
      <w:pPr>
        <w:tabs>
          <w:tab w:val="left" w:pos="312"/>
        </w:tabs>
      </w:pPr>
    </w:lvl>
  </w:abstractNum>
  <w:abstractNum w:abstractNumId="1">
    <w:nsid w:val="6C86401D"/>
    <w:multiLevelType w:val="singleLevel"/>
    <w:tmpl w:val="6C86401D"/>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M3MTYzMDhhOTc5YTExMzg1YTM0MTdhNjM0ZDllMjgifQ=="/>
  </w:docVars>
  <w:rsids>
    <w:rsidRoot w:val="00000000"/>
    <w:rsid w:val="052A3046"/>
    <w:rsid w:val="062E4AEA"/>
    <w:rsid w:val="063A3FD5"/>
    <w:rsid w:val="0A6C6349"/>
    <w:rsid w:val="12CD360A"/>
    <w:rsid w:val="131C4BB7"/>
    <w:rsid w:val="13E77C80"/>
    <w:rsid w:val="20230655"/>
    <w:rsid w:val="21072CC7"/>
    <w:rsid w:val="2214117B"/>
    <w:rsid w:val="22F722B3"/>
    <w:rsid w:val="28901CFF"/>
    <w:rsid w:val="2F3A581B"/>
    <w:rsid w:val="30C2420B"/>
    <w:rsid w:val="310E58A1"/>
    <w:rsid w:val="322F2D66"/>
    <w:rsid w:val="32354DFC"/>
    <w:rsid w:val="323653FE"/>
    <w:rsid w:val="3B0C03D9"/>
    <w:rsid w:val="3B326DB3"/>
    <w:rsid w:val="42917E16"/>
    <w:rsid w:val="4E1B560C"/>
    <w:rsid w:val="51F635A0"/>
    <w:rsid w:val="5C6B760E"/>
    <w:rsid w:val="602D5FC1"/>
    <w:rsid w:val="608A34B1"/>
    <w:rsid w:val="63D95EC9"/>
    <w:rsid w:val="6C6E4B04"/>
    <w:rsid w:val="73E8476A"/>
    <w:rsid w:val="73F364FA"/>
    <w:rsid w:val="74EE54C4"/>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5">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link w:val="23"/>
    <w:autoRedefine/>
    <w:qFormat/>
    <w:uiPriority w:val="0"/>
    <w:pPr>
      <w:jc w:val="left"/>
    </w:pPr>
    <w:rPr>
      <w:rFonts w:ascii="Arial" w:hAnsi="Arial" w:eastAsia="黑体"/>
      <w:b/>
      <w:sz w:val="32"/>
    </w:rPr>
  </w:style>
  <w:style w:type="paragraph" w:styleId="5">
    <w:name w:val="toc 2"/>
    <w:basedOn w:val="1"/>
    <w:next w:val="1"/>
    <w:autoRedefine/>
    <w:qFormat/>
    <w:uiPriority w:val="39"/>
    <w:pPr>
      <w:ind w:left="210"/>
    </w:pPr>
    <w:rPr>
      <w:rFonts w:ascii="Calibri" w:hAnsi="Calibri" w:eastAsia="宋体" w:cs="Times New Roman"/>
      <w:szCs w:val="24"/>
    </w:rPr>
  </w:style>
  <w:style w:type="paragraph" w:styleId="6">
    <w:name w:val="Body Text Indent"/>
    <w:basedOn w:val="1"/>
    <w:link w:val="24"/>
    <w:autoRedefine/>
    <w:semiHidden/>
    <w:unhideWhenUsed/>
    <w:qFormat/>
    <w:uiPriority w:val="99"/>
    <w:pPr>
      <w:spacing w:after="120"/>
      <w:ind w:left="420" w:leftChars="200"/>
    </w:pPr>
  </w:style>
  <w:style w:type="paragraph" w:styleId="7">
    <w:name w:val="Date"/>
    <w:basedOn w:val="1"/>
    <w:next w:val="1"/>
    <w:link w:val="21"/>
    <w:autoRedefine/>
    <w:semiHidden/>
    <w:unhideWhenUsed/>
    <w:qFormat/>
    <w:uiPriority w:val="99"/>
    <w:pPr>
      <w:ind w:left="100" w:leftChars="2500"/>
    </w:pPr>
  </w:style>
  <w:style w:type="paragraph" w:styleId="8">
    <w:name w:val="Body Text Indent 2"/>
    <w:basedOn w:val="1"/>
    <w:autoRedefine/>
    <w:qFormat/>
    <w:uiPriority w:val="0"/>
    <w:pPr>
      <w:spacing w:after="120" w:line="480" w:lineRule="auto"/>
      <w:ind w:left="420" w:leftChars="200"/>
    </w:pPr>
    <w:rPr>
      <w:rFonts w:ascii="宋体"/>
      <w:sz w:val="32"/>
      <w:szCs w:val="22"/>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0"/>
    <w:autoRedefine/>
    <w:unhideWhenUsed/>
    <w:qFormat/>
    <w:uiPriority w:val="0"/>
    <w:pPr>
      <w:tabs>
        <w:tab w:val="center" w:pos="4153"/>
        <w:tab w:val="right" w:pos="8306"/>
      </w:tabs>
      <w:snapToGrid w:val="0"/>
      <w:jc w:val="left"/>
    </w:pPr>
    <w:rPr>
      <w:sz w:val="18"/>
      <w:szCs w:val="18"/>
    </w:rPr>
  </w:style>
  <w:style w:type="paragraph" w:styleId="11">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6"/>
    <w:link w:val="25"/>
    <w:autoRedefine/>
    <w:semiHidden/>
    <w:unhideWhenUsed/>
    <w:qFormat/>
    <w:uiPriority w:val="99"/>
    <w:pPr>
      <w:ind w:firstLine="420" w:firstLineChars="200"/>
    </w:pPr>
  </w:style>
  <w:style w:type="character" w:styleId="16">
    <w:name w:val="page number"/>
    <w:autoRedefine/>
    <w:semiHidden/>
    <w:unhideWhenUsed/>
    <w:qFormat/>
    <w:uiPriority w:val="99"/>
    <w:rPr>
      <w:rFonts w:cs="Times New Roman"/>
    </w:rPr>
  </w:style>
  <w:style w:type="character" w:styleId="17">
    <w:name w:val="Hyperlink"/>
    <w:basedOn w:val="15"/>
    <w:autoRedefine/>
    <w:unhideWhenUsed/>
    <w:qFormat/>
    <w:uiPriority w:val="99"/>
    <w:rPr>
      <w:color w:val="0000FF"/>
      <w:u w:val="single"/>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9">
    <w:name w:val="页眉 Char"/>
    <w:basedOn w:val="15"/>
    <w:link w:val="11"/>
    <w:autoRedefine/>
    <w:semiHidden/>
    <w:qFormat/>
    <w:uiPriority w:val="99"/>
    <w:rPr>
      <w:sz w:val="18"/>
      <w:szCs w:val="18"/>
    </w:rPr>
  </w:style>
  <w:style w:type="character" w:customStyle="1" w:styleId="20">
    <w:name w:val="页脚 Char"/>
    <w:basedOn w:val="15"/>
    <w:link w:val="10"/>
    <w:autoRedefine/>
    <w:qFormat/>
    <w:uiPriority w:val="0"/>
    <w:rPr>
      <w:sz w:val="18"/>
      <w:szCs w:val="18"/>
    </w:rPr>
  </w:style>
  <w:style w:type="character" w:customStyle="1" w:styleId="21">
    <w:name w:val="日期 Char"/>
    <w:basedOn w:val="15"/>
    <w:link w:val="7"/>
    <w:autoRedefine/>
    <w:semiHidden/>
    <w:qFormat/>
    <w:uiPriority w:val="99"/>
  </w:style>
  <w:style w:type="character" w:customStyle="1" w:styleId="22">
    <w:name w:val="正文文本 Char"/>
    <w:link w:val="4"/>
    <w:autoRedefine/>
    <w:qFormat/>
    <w:locked/>
    <w:uiPriority w:val="0"/>
    <w:rPr>
      <w:rFonts w:ascii="Arial" w:hAnsi="Arial" w:eastAsia="黑体"/>
      <w:b/>
      <w:sz w:val="32"/>
    </w:rPr>
  </w:style>
  <w:style w:type="character" w:customStyle="1" w:styleId="23">
    <w:name w:val="正文文本 Char1"/>
    <w:basedOn w:val="15"/>
    <w:link w:val="4"/>
    <w:autoRedefine/>
    <w:semiHidden/>
    <w:qFormat/>
    <w:uiPriority w:val="99"/>
  </w:style>
  <w:style w:type="character" w:customStyle="1" w:styleId="24">
    <w:name w:val="正文文本缩进 Char"/>
    <w:basedOn w:val="15"/>
    <w:link w:val="6"/>
    <w:autoRedefine/>
    <w:semiHidden/>
    <w:qFormat/>
    <w:uiPriority w:val="99"/>
  </w:style>
  <w:style w:type="character" w:customStyle="1" w:styleId="25">
    <w:name w:val="正文首行缩进 2 Char"/>
    <w:basedOn w:val="24"/>
    <w:link w:val="13"/>
    <w:autoRedefine/>
    <w:semiHidden/>
    <w:qFormat/>
    <w:uiPriority w:val="99"/>
  </w:style>
  <w:style w:type="character" w:customStyle="1" w:styleId="26">
    <w:name w:val="批注框文本 Char"/>
    <w:basedOn w:val="15"/>
    <w:link w:val="9"/>
    <w:autoRedefine/>
    <w:semiHidden/>
    <w:qFormat/>
    <w:uiPriority w:val="99"/>
    <w:rPr>
      <w:sz w:val="18"/>
      <w:szCs w:val="18"/>
    </w:rPr>
  </w:style>
  <w:style w:type="paragraph" w:customStyle="1" w:styleId="27">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8">
    <w:name w:val="目录 21"/>
    <w:basedOn w:val="1"/>
    <w:qFormat/>
    <w:uiPriority w:val="0"/>
    <w:pPr>
      <w:ind w:left="420"/>
    </w:pPr>
    <w:rPr>
      <w:rFonts w:eastAsia="仿宋_GB2312"/>
      <w:b/>
      <w:sz w:val="24"/>
    </w:rPr>
  </w:style>
  <w:style w:type="character" w:customStyle="1" w:styleId="29">
    <w:name w:val="标题 1 Char"/>
    <w:basedOn w:val="15"/>
    <w:link w:val="3"/>
    <w:qFormat/>
    <w:uiPriority w:val="0"/>
    <w:rPr>
      <w:rFonts w:ascii="Times New Roman" w:hAnsi="Times New Roman" w:eastAsia="黑体"/>
      <w:b/>
      <w:bCs/>
      <w:kern w:val="44"/>
      <w:sz w:val="30"/>
      <w:szCs w:val="44"/>
    </w:rPr>
  </w:style>
  <w:style w:type="character" w:customStyle="1" w:styleId="30">
    <w:name w:val="font10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6519</Words>
  <Characters>7203</Characters>
  <Lines>6</Lines>
  <Paragraphs>1</Paragraphs>
  <TotalTime>76</TotalTime>
  <ScaleCrop>false</ScaleCrop>
  <LinksUpToDate>false</LinksUpToDate>
  <CharactersWithSpaces>7622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2024-08-02T08:38:00Z</cp:lastPrinted>
  <dcterms:modified xsi:type="dcterms:W3CDTF">2024-08-08T05:39:32Z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5454054EEDDD420495B91241D8CDEB4A</vt:lpwstr>
  </property>
</Properties>
</file>