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1" w:name="_GoBack"/>
      <w:r>
        <w:rPr>
          <w:rFonts w:hint="eastAsia" w:ascii="黑体" w:hAnsi="黑体" w:eastAsia="黑体" w:cs="黑体"/>
          <w:b w:val="0"/>
          <w:color w:val="000000" w:themeColor="text1"/>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迈世通胰岛素泵耗材采购项目内容及相关要求</w:t>
      </w:r>
      <w:bookmarkEnd w:id="1"/>
    </w:p>
    <w:p>
      <w:pPr>
        <w:pStyle w:val="7"/>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项目预算（人民币）：</w:t>
      </w:r>
      <w:r>
        <w:rPr>
          <w:rFonts w:hint="eastAsia" w:ascii="宋体" w:hAnsi="宋体" w:cs="宋体"/>
          <w:b w:val="0"/>
          <w:kern w:val="0"/>
          <w:sz w:val="28"/>
          <w:szCs w:val="28"/>
          <w:lang w:val="en-US" w:eastAsia="zh-CN" w:bidi="ar-SA"/>
        </w:rPr>
        <w:t>3</w:t>
      </w:r>
      <w:r>
        <w:rPr>
          <w:rFonts w:hint="eastAsia" w:ascii="宋体" w:hAnsi="宋体" w:eastAsia="宋体" w:cs="宋体"/>
          <w:b w:val="0"/>
          <w:kern w:val="0"/>
          <w:sz w:val="28"/>
          <w:szCs w:val="28"/>
          <w:lang w:val="en-US" w:eastAsia="zh-CN" w:bidi="ar-SA"/>
        </w:rPr>
        <w:t>万元；</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最高限价（人民币）：</w:t>
      </w:r>
      <w:r>
        <w:rPr>
          <w:rFonts w:hint="eastAsia" w:ascii="宋体" w:hAnsi="宋体" w:cs="宋体"/>
          <w:b w:val="0"/>
          <w:kern w:val="0"/>
          <w:sz w:val="28"/>
          <w:szCs w:val="28"/>
          <w:lang w:val="en-US" w:eastAsia="zh-CN" w:bidi="ar-SA"/>
        </w:rPr>
        <w:t>3</w:t>
      </w:r>
      <w:r>
        <w:rPr>
          <w:rFonts w:hint="eastAsia" w:ascii="宋体" w:hAnsi="宋体" w:eastAsia="宋体" w:cs="宋体"/>
          <w:b w:val="0"/>
          <w:kern w:val="0"/>
          <w:sz w:val="28"/>
          <w:szCs w:val="28"/>
          <w:lang w:val="en-US" w:eastAsia="zh-CN" w:bidi="ar-SA"/>
        </w:rPr>
        <w:t>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2、本项目投标人特定资格要求：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 xml:space="preserve">（1）投标人若为生产企业：所投产品为第二、三类医疗器械的，提供涵盖所投医疗器械的《医疗器械生产许可证》。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yellow"/>
          <w:lang w:val="en-US" w:eastAsia="zh-CN"/>
        </w:rPr>
        <w:t xml:space="preserve">（2）投标人若为经营企业：所投产品为第二类医疗器械的，提供涵盖所投医疗器械的《医疗器械经营备案凭证》；所投产品为第三类医疗器械的，提供涵盖所投医疗器械的《医疗器械经营许可证》。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4、投标人须符合下列情形之一（不良行为记录以《马鞍山市公共资源交易主体不良行为信息处理暂行办法》（马公管〔2016〕35号）为准）：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（1）开标日前两年内未被马鞍山市、县公共资源交易监督管理部门记不良行为记录或记不良行为记录累计未满5分的。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（2）最近一次被马鞍山市、县公共资源交易监督管理部门记不良行为记录累计记分达5分到9分(含9分)且公布日距日超过3个月。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（3）最近一次被马鞍山市、县公共资源交易监督管理部门记不良行为记录累计记分达10分到19分(含19分)且公布日距开标日超过6个月。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（4）最近一次被马鞍山市、县公共资源交易监督管理部门记不良行为记录累计记分达20分到29分(含29分)且公布日距开标日超过12个月。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b w:val="0"/>
          <w:kern w:val="0"/>
          <w:sz w:val="28"/>
          <w:szCs w:val="28"/>
          <w:lang w:val="en-US" w:eastAsia="zh-CN" w:bidi="ar-SA"/>
        </w:rPr>
      </w:pPr>
      <w:r>
        <w:rPr>
          <w:rFonts w:hint="eastAsia" w:asciiTheme="minorEastAsia" w:hAnsiTheme="minorEastAsia" w:eastAsiaTheme="minorEastAsia" w:cstheme="minorEastAsia"/>
          <w:sz w:val="28"/>
          <w:szCs w:val="28"/>
          <w:lang w:val="en-US" w:eastAsia="zh-CN"/>
        </w:rPr>
        <w:t>（5）最近一次被马鞍山市、县公共资源交易监督管理部门记不良行为记录累计记分30分以上(含30分)且公布日距开标日超过24个月。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马鞍山市中医院采购迈世通胰岛素泵耗材500套。</w:t>
      </w:r>
    </w:p>
    <w:p>
      <w:pPr>
        <w:tabs>
          <w:tab w:val="left" w:pos="7020"/>
        </w:tabs>
        <w:spacing w:line="440" w:lineRule="exact"/>
        <w:jc w:val="center"/>
        <w:rPr>
          <w:rFonts w:ascii="宋体" w:hAnsi="宋体"/>
          <w:b/>
          <w:sz w:val="28"/>
          <w:szCs w:val="28"/>
        </w:rPr>
      </w:pPr>
      <w:r>
        <w:rPr>
          <w:rFonts w:hint="eastAsia" w:ascii="宋体" w:hAnsi="宋体"/>
          <w:b/>
          <w:sz w:val="28"/>
          <w:szCs w:val="28"/>
        </w:rPr>
        <w:t>（一）采购清单</w:t>
      </w:r>
    </w:p>
    <w:tbl>
      <w:tblPr>
        <w:tblStyle w:val="13"/>
        <w:tblW w:w="88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09"/>
        <w:gridCol w:w="1064"/>
        <w:gridCol w:w="963"/>
        <w:gridCol w:w="190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9" w:type="dxa"/>
            <w:vAlign w:val="top"/>
          </w:tcPr>
          <w:p>
            <w:pPr>
              <w:spacing w:line="480" w:lineRule="exact"/>
              <w:jc w:val="center"/>
              <w:rPr>
                <w:rFonts w:ascii="宋体" w:hAnsi="宋体"/>
                <w:b/>
                <w:bCs/>
                <w:sz w:val="24"/>
              </w:rPr>
            </w:pPr>
            <w:r>
              <w:rPr>
                <w:rFonts w:hint="eastAsia" w:ascii="宋体" w:hAnsi="宋体"/>
                <w:b/>
                <w:bCs/>
                <w:sz w:val="24"/>
              </w:rPr>
              <w:t>序号</w:t>
            </w:r>
          </w:p>
        </w:tc>
        <w:tc>
          <w:tcPr>
            <w:tcW w:w="2109" w:type="dxa"/>
            <w:vAlign w:val="top"/>
          </w:tcPr>
          <w:p>
            <w:pPr>
              <w:spacing w:line="480" w:lineRule="exact"/>
              <w:jc w:val="center"/>
              <w:rPr>
                <w:rFonts w:ascii="宋体" w:hAnsi="宋体"/>
                <w:b/>
                <w:bCs/>
                <w:sz w:val="24"/>
              </w:rPr>
            </w:pPr>
            <w:r>
              <w:rPr>
                <w:rFonts w:hint="eastAsia" w:ascii="宋体" w:hAnsi="宋体"/>
                <w:b/>
                <w:bCs/>
                <w:sz w:val="24"/>
              </w:rPr>
              <w:t>货物名称</w:t>
            </w:r>
          </w:p>
        </w:tc>
        <w:tc>
          <w:tcPr>
            <w:tcW w:w="1064" w:type="dxa"/>
            <w:vAlign w:val="top"/>
          </w:tcPr>
          <w:p>
            <w:pPr>
              <w:spacing w:line="480" w:lineRule="exact"/>
              <w:jc w:val="center"/>
              <w:rPr>
                <w:rFonts w:ascii="宋体" w:hAnsi="宋体"/>
                <w:b/>
                <w:bCs/>
                <w:sz w:val="24"/>
              </w:rPr>
            </w:pPr>
            <w:r>
              <w:rPr>
                <w:rFonts w:hint="eastAsia" w:ascii="宋体" w:hAnsi="宋体"/>
                <w:b/>
                <w:bCs/>
                <w:sz w:val="24"/>
              </w:rPr>
              <w:t>数量</w:t>
            </w:r>
          </w:p>
        </w:tc>
        <w:tc>
          <w:tcPr>
            <w:tcW w:w="963" w:type="dxa"/>
            <w:vAlign w:val="top"/>
          </w:tcPr>
          <w:p>
            <w:pPr>
              <w:spacing w:line="480" w:lineRule="exact"/>
              <w:jc w:val="center"/>
              <w:rPr>
                <w:rFonts w:ascii="宋体" w:hAnsi="宋体"/>
                <w:b/>
                <w:bCs/>
                <w:sz w:val="24"/>
              </w:rPr>
            </w:pPr>
            <w:r>
              <w:rPr>
                <w:rFonts w:hint="eastAsia" w:ascii="宋体" w:hAnsi="宋体"/>
                <w:b/>
                <w:bCs/>
                <w:sz w:val="24"/>
              </w:rPr>
              <w:t>单位</w:t>
            </w:r>
          </w:p>
        </w:tc>
        <w:tc>
          <w:tcPr>
            <w:tcW w:w="1909" w:type="dxa"/>
            <w:vAlign w:val="top"/>
          </w:tcPr>
          <w:p>
            <w:pPr>
              <w:spacing w:line="480" w:lineRule="exact"/>
              <w:jc w:val="center"/>
              <w:rPr>
                <w:rFonts w:ascii="宋体" w:hAnsi="宋体"/>
                <w:b/>
                <w:bCs/>
                <w:sz w:val="24"/>
              </w:rPr>
            </w:pPr>
            <w:r>
              <w:rPr>
                <w:rFonts w:hint="eastAsia" w:ascii="宋体" w:hAnsi="宋体"/>
                <w:b/>
                <w:bCs/>
                <w:sz w:val="24"/>
                <w:lang w:val="en-US" w:eastAsia="zh-CN"/>
              </w:rPr>
              <w:t>最高限制</w:t>
            </w:r>
            <w:r>
              <w:rPr>
                <w:rFonts w:hint="eastAsia" w:ascii="宋体" w:hAnsi="宋体"/>
                <w:b/>
                <w:bCs/>
                <w:sz w:val="24"/>
              </w:rPr>
              <w:t>单价（元）</w:t>
            </w:r>
          </w:p>
        </w:tc>
        <w:tc>
          <w:tcPr>
            <w:tcW w:w="1723" w:type="dxa"/>
            <w:vAlign w:val="top"/>
          </w:tcPr>
          <w:p>
            <w:pPr>
              <w:spacing w:line="480" w:lineRule="exact"/>
              <w:jc w:val="center"/>
              <w:rPr>
                <w:rFonts w:ascii="宋体" w:hAnsi="宋体"/>
                <w:b/>
                <w:bCs/>
                <w:sz w:val="24"/>
              </w:rPr>
            </w:pPr>
            <w:r>
              <w:rPr>
                <w:rFonts w:hint="eastAsia" w:ascii="宋体" w:hAnsi="宋体"/>
                <w:b/>
                <w:bCs/>
                <w:sz w:val="24"/>
                <w:lang w:val="en-US" w:eastAsia="zh-CN"/>
              </w:rPr>
              <w:t>总</w:t>
            </w:r>
            <w:r>
              <w:rPr>
                <w:rFonts w:hint="eastAsia" w:ascii="宋体" w:hAnsi="宋体"/>
                <w:b/>
                <w:bCs/>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9" w:type="dxa"/>
            <w:vAlign w:val="top"/>
          </w:tcPr>
          <w:p>
            <w:pPr>
              <w:spacing w:line="480" w:lineRule="exact"/>
              <w:jc w:val="center"/>
              <w:rPr>
                <w:rFonts w:ascii="宋体" w:hAnsi="宋体"/>
                <w:sz w:val="24"/>
              </w:rPr>
            </w:pPr>
            <w:r>
              <w:rPr>
                <w:rFonts w:hint="eastAsia" w:ascii="宋体" w:hAnsi="宋体"/>
                <w:sz w:val="24"/>
              </w:rPr>
              <w:t>1</w:t>
            </w:r>
          </w:p>
        </w:tc>
        <w:tc>
          <w:tcPr>
            <w:tcW w:w="2109" w:type="dxa"/>
            <w:vAlign w:val="top"/>
          </w:tcPr>
          <w:p>
            <w:pPr>
              <w:spacing w:line="480" w:lineRule="exact"/>
              <w:jc w:val="center"/>
              <w:rPr>
                <w:rFonts w:hint="eastAsia" w:ascii="宋体" w:hAnsi="宋体" w:eastAsia="宋体"/>
                <w:sz w:val="24"/>
                <w:lang w:eastAsia="zh-CN"/>
              </w:rPr>
            </w:pPr>
            <w:r>
              <w:rPr>
                <w:rFonts w:hint="eastAsia" w:ascii="宋体" w:hAnsi="宋体"/>
                <w:sz w:val="24"/>
                <w:lang w:val="en-US" w:eastAsia="zh-CN"/>
              </w:rPr>
              <w:t>迈世通</w:t>
            </w:r>
            <w:r>
              <w:rPr>
                <w:rFonts w:hint="eastAsia" w:ascii="宋体" w:hAnsi="宋体"/>
                <w:sz w:val="24"/>
                <w:lang w:eastAsia="zh-CN"/>
              </w:rPr>
              <w:t>胰岛素泵耗材（</w:t>
            </w:r>
            <w:r>
              <w:rPr>
                <w:rFonts w:hint="eastAsia" w:ascii="宋体" w:hAnsi="宋体"/>
                <w:sz w:val="24"/>
                <w:lang w:val="en-US" w:eastAsia="zh-CN"/>
              </w:rPr>
              <w:t>含输注器和贮药器</w:t>
            </w:r>
            <w:r>
              <w:rPr>
                <w:rFonts w:hint="eastAsia" w:ascii="宋体" w:hAnsi="宋体"/>
                <w:sz w:val="24"/>
                <w:lang w:eastAsia="zh-CN"/>
              </w:rPr>
              <w:t>）</w:t>
            </w:r>
          </w:p>
        </w:tc>
        <w:tc>
          <w:tcPr>
            <w:tcW w:w="1064"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500</w:t>
            </w:r>
          </w:p>
        </w:tc>
        <w:tc>
          <w:tcPr>
            <w:tcW w:w="96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套</w:t>
            </w:r>
          </w:p>
        </w:tc>
        <w:tc>
          <w:tcPr>
            <w:tcW w:w="1909"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60</w:t>
            </w:r>
          </w:p>
        </w:tc>
        <w:tc>
          <w:tcPr>
            <w:tcW w:w="172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3</w:t>
            </w:r>
          </w:p>
        </w:tc>
      </w:tr>
    </w:tbl>
    <w:p>
      <w:pPr>
        <w:ind w:left="3204"/>
        <w:rPr>
          <w:rFonts w:hint="eastAsia"/>
          <w:b/>
          <w:color w:val="000000"/>
          <w:sz w:val="28"/>
          <w:szCs w:val="28"/>
        </w:rPr>
      </w:pPr>
    </w:p>
    <w:p>
      <w:pPr>
        <w:ind w:left="3204"/>
        <w:rPr>
          <w:b/>
          <w:color w:val="000000"/>
          <w:sz w:val="28"/>
          <w:szCs w:val="28"/>
        </w:rPr>
      </w:pPr>
      <w:r>
        <w:rPr>
          <w:rFonts w:hint="eastAsia"/>
          <w:b/>
          <w:color w:val="000000"/>
          <w:sz w:val="28"/>
          <w:szCs w:val="28"/>
        </w:rPr>
        <w:t>（二）技术参数</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性能</w:t>
      </w:r>
      <w:r>
        <w:rPr>
          <w:rFonts w:hint="eastAsia" w:ascii="宋体" w:hAnsi="宋体" w:eastAsia="宋体" w:cs="宋体"/>
          <w:sz w:val="28"/>
          <w:szCs w:val="28"/>
          <w:lang w:eastAsia="zh-CN"/>
        </w:rPr>
        <w:t>原理</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在一定时间内能够满足胰岛素泵持续给药，一次性胰岛素泵用贮药器和输注器的物理性、化学性和生物学性能符合产品技术要求。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lang w:eastAsia="zh-CN"/>
        </w:rPr>
        <w:t>适用范围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一次性胰岛素泵用贮药器和输注器共同为MTI-PIV 型迈世通胰岛素泵配套使用，用于胰岛素皮下注射。</w:t>
      </w:r>
    </w:p>
    <w:p>
      <w:pPr>
        <w:pStyle w:val="17"/>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lang w:val="en-US" w:eastAsia="zh-CN"/>
        </w:rPr>
        <w:t>输</w:t>
      </w:r>
      <w:r>
        <w:rPr>
          <w:rFonts w:hint="eastAsia" w:ascii="宋体" w:hAnsi="宋体" w:eastAsia="宋体" w:cs="宋体"/>
          <w:sz w:val="28"/>
          <w:szCs w:val="28"/>
          <w:lang w:eastAsia="zh-CN"/>
        </w:rPr>
        <w:t>液管路长度范围200mm/550mm/600mm/750mm/800mm/1000mm。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lang w:eastAsia="zh-CN"/>
        </w:rPr>
        <w:t>直式针管长度范围4mm/5mm/6mm/7mm/8mm/9mm。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5.</w:t>
      </w:r>
      <w:r>
        <w:rPr>
          <w:rFonts w:hint="eastAsia" w:ascii="宋体" w:hAnsi="宋体" w:eastAsia="宋体" w:cs="宋体"/>
          <w:sz w:val="28"/>
          <w:szCs w:val="28"/>
          <w:lang w:eastAsia="zh-CN"/>
        </w:rPr>
        <w:t>弯式针管长度范围7mm/9mm/11mm/13mm。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6.</w:t>
      </w:r>
      <w:r>
        <w:rPr>
          <w:rFonts w:hint="eastAsia" w:ascii="宋体" w:hAnsi="宋体" w:eastAsia="宋体" w:cs="宋体"/>
          <w:sz w:val="28"/>
          <w:szCs w:val="28"/>
          <w:lang w:eastAsia="zh-CN"/>
        </w:rPr>
        <w:t>导管标准外径</w:t>
      </w:r>
      <w:r>
        <w:rPr>
          <w:rFonts w:hint="eastAsia" w:ascii="宋体" w:hAnsi="宋体" w:eastAsia="宋体" w:cs="宋体"/>
          <w:sz w:val="28"/>
          <w:szCs w:val="28"/>
          <w:lang w:val="en-US" w:eastAsia="zh-CN"/>
        </w:rPr>
        <w:t>约</w:t>
      </w:r>
      <w:r>
        <w:rPr>
          <w:rFonts w:hint="eastAsia" w:ascii="宋体" w:hAnsi="宋体" w:eastAsia="宋体" w:cs="宋体"/>
          <w:sz w:val="28"/>
          <w:szCs w:val="28"/>
          <w:lang w:eastAsia="zh-CN"/>
        </w:rPr>
        <w:t>1.5mm。</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7.</w:t>
      </w:r>
      <w:r>
        <w:rPr>
          <w:rFonts w:hint="eastAsia" w:ascii="宋体" w:hAnsi="宋体" w:eastAsia="宋体" w:cs="宋体"/>
          <w:sz w:val="28"/>
          <w:szCs w:val="28"/>
          <w:lang w:eastAsia="zh-CN"/>
        </w:rPr>
        <w:t>针管标准外径</w:t>
      </w:r>
      <w:r>
        <w:rPr>
          <w:rFonts w:hint="eastAsia" w:ascii="宋体" w:hAnsi="宋体" w:eastAsia="宋体" w:cs="宋体"/>
          <w:sz w:val="28"/>
          <w:szCs w:val="28"/>
          <w:lang w:val="en-US" w:eastAsia="zh-CN"/>
        </w:rPr>
        <w:t>约</w:t>
      </w:r>
      <w:r>
        <w:rPr>
          <w:rFonts w:hint="eastAsia" w:ascii="宋体" w:hAnsi="宋体" w:eastAsia="宋体" w:cs="宋体"/>
          <w:sz w:val="28"/>
          <w:szCs w:val="28"/>
          <w:lang w:eastAsia="zh-CN"/>
        </w:rPr>
        <w:t>0.4mm。</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管路类型双层管路，内层保护胰岛素，外层保护内层管并于皮肤无致敏性。</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接口类型</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快速锁定接口，操作简单，输注稳定，更加安全。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10. </w:t>
      </w:r>
      <w:r>
        <w:rPr>
          <w:rFonts w:hint="eastAsia" w:ascii="宋体" w:hAnsi="宋体" w:eastAsia="宋体" w:cs="宋体"/>
          <w:sz w:val="28"/>
          <w:szCs w:val="28"/>
          <w:lang w:eastAsia="zh-CN"/>
        </w:rPr>
        <w:t>导管分离方式快接口分离，操作简单，配有防护帽，更好的保护分离端。</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 xml:space="preserve"> 贮药器公称容量3ml。</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 xml:space="preserve"> 贮药器抽药器有针尖保护罩，更好的起到抽药过程安全性。</w:t>
      </w:r>
    </w:p>
    <w:p>
      <w:pPr>
        <w:keepNext w:val="0"/>
        <w:keepLines w:val="0"/>
        <w:pageBreakBefore w:val="0"/>
        <w:widowControl w:val="0"/>
        <w:kinsoku/>
        <w:wordWrap/>
        <w:overflowPunct/>
        <w:topLinePunct w:val="0"/>
        <w:autoSpaceDE/>
        <w:autoSpaceDN/>
        <w:bidi w:val="0"/>
        <w:adjustRightInd/>
        <w:snapToGrid/>
        <w:spacing w:line="480" w:lineRule="exact"/>
        <w:ind w:left="0"/>
        <w:jc w:val="both"/>
        <w:textAlignment w:val="auto"/>
        <w:rPr>
          <w:sz w:val="28"/>
          <w:szCs w:val="28"/>
        </w:rPr>
      </w:pPr>
    </w:p>
    <w:p>
      <w:pPr>
        <w:keepNext w:val="0"/>
        <w:keepLines w:val="0"/>
        <w:pageBreakBefore w:val="0"/>
        <w:widowControl w:val="0"/>
        <w:tabs>
          <w:tab w:val="left" w:pos="1050"/>
        </w:tabs>
        <w:kinsoku/>
        <w:wordWrap/>
        <w:overflowPunct/>
        <w:topLinePunct w:val="0"/>
        <w:autoSpaceDE/>
        <w:autoSpaceDN/>
        <w:bidi w:val="0"/>
        <w:adjustRightInd/>
        <w:spacing w:line="480" w:lineRule="exact"/>
        <w:ind w:left="0" w:firstLine="560" w:firstLineChars="200"/>
        <w:jc w:val="center"/>
        <w:textAlignment w:val="auto"/>
        <w:outlineLvl w:val="2"/>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三</w:t>
      </w:r>
      <w:r>
        <w:rPr>
          <w:rFonts w:hint="eastAsia"/>
          <w:b/>
          <w:sz w:val="28"/>
          <w:szCs w:val="28"/>
          <w:highlight w:val="none"/>
          <w:lang w:eastAsia="zh-CN"/>
        </w:rPr>
        <w:t>）</w:t>
      </w:r>
      <w:r>
        <w:rPr>
          <w:rFonts w:hint="eastAsia"/>
          <w:b/>
          <w:sz w:val="28"/>
          <w:szCs w:val="28"/>
          <w:highlight w:val="none"/>
        </w:rPr>
        <w:t>商务要求</w:t>
      </w:r>
    </w:p>
    <w:p>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交货期：</w:t>
      </w:r>
      <w:r>
        <w:rPr>
          <w:rFonts w:hint="eastAsia" w:ascii="宋体" w:hAnsi="宋体" w:cs="宋体"/>
          <w:sz w:val="28"/>
          <w:szCs w:val="28"/>
          <w:highlight w:val="none"/>
          <w:lang w:val="en-US" w:eastAsia="zh-CN"/>
        </w:rPr>
        <w:t>分批交货，合同签订后，接招标人书面通知之日起7日内交货。</w:t>
      </w:r>
    </w:p>
    <w:p>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ascii="宋体" w:hAnsi="宋体"/>
          <w:sz w:val="28"/>
          <w:szCs w:val="28"/>
          <w:highlight w:val="none"/>
        </w:rPr>
      </w:pPr>
      <w:r>
        <w:rPr>
          <w:rFonts w:hint="eastAsia" w:ascii="宋体" w:hAnsi="宋体"/>
          <w:sz w:val="28"/>
          <w:szCs w:val="28"/>
          <w:highlight w:val="none"/>
        </w:rPr>
        <w:t>交货地点：</w:t>
      </w:r>
      <w:r>
        <w:rPr>
          <w:rFonts w:hint="eastAsia" w:ascii="宋体" w:hAnsi="宋体"/>
          <w:sz w:val="28"/>
          <w:szCs w:val="28"/>
          <w:highlight w:val="none"/>
          <w:lang w:val="en-US" w:eastAsia="zh-CN"/>
        </w:rPr>
        <w:t>马鞍山市中医院（招标人</w:t>
      </w:r>
      <w:r>
        <w:rPr>
          <w:rFonts w:hint="eastAsia" w:ascii="宋体" w:hAnsi="宋体"/>
          <w:sz w:val="28"/>
          <w:szCs w:val="28"/>
          <w:highlight w:val="none"/>
        </w:rPr>
        <w:t>指定地点</w:t>
      </w:r>
      <w:r>
        <w:rPr>
          <w:rFonts w:hint="eastAsia" w:ascii="宋体" w:hAnsi="宋体"/>
          <w:sz w:val="28"/>
          <w:szCs w:val="28"/>
          <w:highlight w:val="none"/>
          <w:lang w:val="en-US" w:eastAsia="zh-CN"/>
        </w:rPr>
        <w:t>）</w:t>
      </w:r>
      <w:r>
        <w:rPr>
          <w:rFonts w:hint="eastAsia" w:ascii="宋体" w:hAnsi="宋体"/>
          <w:color w:val="000000"/>
          <w:sz w:val="28"/>
          <w:szCs w:val="28"/>
          <w:highlight w:val="none"/>
        </w:rPr>
        <w:t>。</w:t>
      </w:r>
      <w:r>
        <w:rPr>
          <w:rFonts w:hint="eastAsia" w:ascii="宋体"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outlineLvl w:val="0"/>
        <w:rPr>
          <w:rFonts w:hint="eastAsia" w:ascii="宋体" w:hAnsi="宋体" w:eastAsia="宋体"/>
          <w:sz w:val="28"/>
          <w:szCs w:val="28"/>
          <w:highlight w:val="none"/>
        </w:rPr>
      </w:pPr>
      <w:bookmarkStart w:id="0" w:name="_Toc28220"/>
      <w:r>
        <w:rPr>
          <w:rFonts w:hint="eastAsia" w:ascii="宋体" w:hAnsi="宋体"/>
          <w:sz w:val="28"/>
          <w:szCs w:val="28"/>
          <w:highlight w:val="none"/>
        </w:rPr>
        <w:t>付款方式：</w:t>
      </w:r>
      <w:bookmarkEnd w:id="0"/>
      <w:r>
        <w:rPr>
          <w:rFonts w:hint="eastAsia" w:ascii="宋体" w:hAnsi="宋体" w:eastAsia="宋体"/>
          <w:sz w:val="28"/>
          <w:szCs w:val="28"/>
          <w:highlight w:val="none"/>
        </w:rPr>
        <w:t>本项目按货物供应批次进行付款，每批货到验收合格后</w:t>
      </w:r>
      <w:r>
        <w:rPr>
          <w:rFonts w:hint="eastAsia" w:ascii="宋体" w:hAnsi="宋体"/>
          <w:sz w:val="28"/>
          <w:szCs w:val="28"/>
          <w:highlight w:val="none"/>
          <w:lang w:val="en-US" w:eastAsia="zh-CN"/>
        </w:rPr>
        <w:t>12个月</w:t>
      </w:r>
      <w:r>
        <w:rPr>
          <w:rFonts w:hint="eastAsia" w:ascii="宋体" w:hAnsi="宋体" w:eastAsia="宋体"/>
          <w:sz w:val="28"/>
          <w:szCs w:val="28"/>
          <w:highlight w:val="none"/>
        </w:rPr>
        <w:t>付款。</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outlineLvl w:val="0"/>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产品有效期：中标人须提供的产品至少1年的有效期（自验收合格之日起计算） 。</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default"/>
          <w:sz w:val="28"/>
          <w:szCs w:val="28"/>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EC7652-9C6A-4E43-84FD-2672BBCD78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1988F47-FDF4-415B-9A5C-91C0BD0B8EA5}"/>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52A3046"/>
    <w:rsid w:val="0A6C6349"/>
    <w:rsid w:val="18481C4B"/>
    <w:rsid w:val="21072CC7"/>
    <w:rsid w:val="2214117B"/>
    <w:rsid w:val="22F722B3"/>
    <w:rsid w:val="282240AC"/>
    <w:rsid w:val="28901CFF"/>
    <w:rsid w:val="30C2420B"/>
    <w:rsid w:val="322F2D66"/>
    <w:rsid w:val="32354DFC"/>
    <w:rsid w:val="323653FE"/>
    <w:rsid w:val="42917E16"/>
    <w:rsid w:val="51F635A0"/>
    <w:rsid w:val="59C84FE4"/>
    <w:rsid w:val="5C6B760E"/>
    <w:rsid w:val="602D5FC1"/>
    <w:rsid w:val="608A34B1"/>
    <w:rsid w:val="63D95EC9"/>
    <w:rsid w:val="6C6E4B04"/>
    <w:rsid w:val="73E8476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2"/>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3"/>
    <w:autoRedefine/>
    <w:semiHidden/>
    <w:unhideWhenUsed/>
    <w:qFormat/>
    <w:uiPriority w:val="99"/>
    <w:pPr>
      <w:spacing w:after="120"/>
      <w:ind w:left="420" w:leftChars="200"/>
    </w:pPr>
  </w:style>
  <w:style w:type="paragraph" w:styleId="6">
    <w:name w:val="Date"/>
    <w:basedOn w:val="1"/>
    <w:next w:val="1"/>
    <w:link w:val="20"/>
    <w:autoRedefine/>
    <w:semiHidden/>
    <w:unhideWhenUsed/>
    <w:qFormat/>
    <w:uiPriority w:val="99"/>
    <w:pPr>
      <w:ind w:left="100" w:leftChars="2500"/>
    </w:pPr>
  </w:style>
  <w:style w:type="paragraph" w:styleId="7">
    <w:name w:val="Body Text Indent 2"/>
    <w:basedOn w:val="1"/>
    <w:autoRedefine/>
    <w:qFormat/>
    <w:uiPriority w:val="0"/>
    <w:pPr>
      <w:spacing w:after="120" w:line="480" w:lineRule="auto"/>
      <w:ind w:left="420" w:leftChars="200"/>
    </w:pPr>
    <w:rPr>
      <w:rFonts w:ascii="宋体"/>
      <w:sz w:val="32"/>
      <w:szCs w:val="22"/>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link w:val="24"/>
    <w:autoRedefine/>
    <w:semiHidden/>
    <w:unhideWhenUsed/>
    <w:qFormat/>
    <w:uiPriority w:val="99"/>
    <w:pPr>
      <w:ind w:firstLine="420" w:firstLineChars="200"/>
    </w:pPr>
  </w:style>
  <w:style w:type="character" w:styleId="15">
    <w:name w:val="page number"/>
    <w:autoRedefine/>
    <w:semiHidden/>
    <w:unhideWhenUsed/>
    <w:qFormat/>
    <w:uiPriority w:val="99"/>
    <w:rPr>
      <w:rFonts w:cs="Times New Roman"/>
    </w:rPr>
  </w:style>
  <w:style w:type="character" w:styleId="16">
    <w:name w:val="Hyperlink"/>
    <w:basedOn w:val="14"/>
    <w:autoRedefine/>
    <w:unhideWhenUsed/>
    <w:qFormat/>
    <w:uiPriority w:val="99"/>
    <w:rPr>
      <w:color w:val="0000FF"/>
      <w:u w:val="single"/>
    </w:rPr>
  </w:style>
  <w:style w:type="paragraph" w:customStyle="1" w:styleId="17">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8">
    <w:name w:val="页眉 Char"/>
    <w:basedOn w:val="14"/>
    <w:link w:val="10"/>
    <w:autoRedefine/>
    <w:semiHidden/>
    <w:qFormat/>
    <w:uiPriority w:val="99"/>
    <w:rPr>
      <w:sz w:val="18"/>
      <w:szCs w:val="18"/>
    </w:rPr>
  </w:style>
  <w:style w:type="character" w:customStyle="1" w:styleId="19">
    <w:name w:val="页脚 Char"/>
    <w:basedOn w:val="14"/>
    <w:link w:val="9"/>
    <w:autoRedefine/>
    <w:qFormat/>
    <w:uiPriority w:val="0"/>
    <w:rPr>
      <w:sz w:val="18"/>
      <w:szCs w:val="18"/>
    </w:rPr>
  </w:style>
  <w:style w:type="character" w:customStyle="1" w:styleId="20">
    <w:name w:val="日期 Char"/>
    <w:basedOn w:val="14"/>
    <w:link w:val="6"/>
    <w:autoRedefine/>
    <w:semiHidden/>
    <w:qFormat/>
    <w:uiPriority w:val="99"/>
  </w:style>
  <w:style w:type="character" w:customStyle="1" w:styleId="21">
    <w:name w:val="正文文本 Char"/>
    <w:link w:val="3"/>
    <w:autoRedefine/>
    <w:qFormat/>
    <w:locked/>
    <w:uiPriority w:val="0"/>
    <w:rPr>
      <w:rFonts w:ascii="Arial" w:hAnsi="Arial" w:eastAsia="黑体"/>
      <w:b/>
      <w:sz w:val="32"/>
    </w:rPr>
  </w:style>
  <w:style w:type="character" w:customStyle="1" w:styleId="22">
    <w:name w:val="正文文本 Char1"/>
    <w:basedOn w:val="14"/>
    <w:link w:val="3"/>
    <w:autoRedefine/>
    <w:semiHidden/>
    <w:qFormat/>
    <w:uiPriority w:val="99"/>
  </w:style>
  <w:style w:type="character" w:customStyle="1" w:styleId="23">
    <w:name w:val="正文文本缩进 Char"/>
    <w:basedOn w:val="14"/>
    <w:link w:val="5"/>
    <w:autoRedefine/>
    <w:semiHidden/>
    <w:qFormat/>
    <w:uiPriority w:val="99"/>
  </w:style>
  <w:style w:type="character" w:customStyle="1" w:styleId="24">
    <w:name w:val="正文首行缩进 2 Char"/>
    <w:basedOn w:val="23"/>
    <w:link w:val="12"/>
    <w:autoRedefine/>
    <w:semiHidden/>
    <w:qFormat/>
    <w:uiPriority w:val="99"/>
  </w:style>
  <w:style w:type="character" w:customStyle="1" w:styleId="25">
    <w:name w:val="批注框文本 Char"/>
    <w:basedOn w:val="14"/>
    <w:link w:val="8"/>
    <w:autoRedefine/>
    <w:semiHidden/>
    <w:qFormat/>
    <w:uiPriority w:val="99"/>
    <w:rPr>
      <w:sz w:val="18"/>
      <w:szCs w:val="18"/>
    </w:rPr>
  </w:style>
  <w:style w:type="paragraph" w:customStyle="1" w:styleId="26">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7">
    <w:name w:val="目录 21"/>
    <w:basedOn w:val="1"/>
    <w:qFormat/>
    <w:uiPriority w:val="0"/>
    <w:pPr>
      <w:ind w:left="420"/>
    </w:pPr>
    <w:rPr>
      <w:rFonts w:eastAsia="仿宋_GB2312"/>
      <w:b/>
      <w:sz w:val="24"/>
    </w:rPr>
  </w:style>
  <w:style w:type="character" w:customStyle="1" w:styleId="28">
    <w:name w:val="标题 1 Char"/>
    <w:basedOn w:val="14"/>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1150</Words>
  <Characters>1273</Characters>
  <Lines>6</Lines>
  <Paragraphs>1</Paragraphs>
  <TotalTime>3</TotalTime>
  <ScaleCrop>false</ScaleCrop>
  <LinksUpToDate>false</LinksUpToDate>
  <CharactersWithSpaces>1324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2024-06-14T05:59:46Z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4622A48AA498473D873ADA3650D2A458_13</vt:lpwstr>
  </property>
</Properties>
</file>